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5ADE" w14:textId="77777777" w:rsidR="00B15290" w:rsidRDefault="00B15290" w:rsidP="00B15290">
      <w:pPr>
        <w:suppressAutoHyphens w:val="0"/>
        <w:autoSpaceDE/>
        <w:spacing w:line="360" w:lineRule="auto"/>
        <w:jc w:val="center"/>
        <w:rPr>
          <w:b/>
          <w:sz w:val="24"/>
          <w:szCs w:val="24"/>
        </w:rPr>
      </w:pPr>
      <w:r w:rsidRPr="00127B40">
        <w:rPr>
          <w:b/>
          <w:sz w:val="24"/>
          <w:szCs w:val="24"/>
        </w:rPr>
        <w:t>Обязательная информация</w:t>
      </w:r>
    </w:p>
    <w:p w14:paraId="3086DC2D" w14:textId="77777777" w:rsidR="00B15290" w:rsidRDefault="00B15290" w:rsidP="00B15290">
      <w:pPr>
        <w:suppressAutoHyphens w:val="0"/>
        <w:autoSpaceDE/>
        <w:spacing w:line="360" w:lineRule="auto"/>
        <w:jc w:val="center"/>
        <w:rPr>
          <w:b/>
          <w:sz w:val="24"/>
          <w:szCs w:val="24"/>
        </w:rPr>
      </w:pPr>
    </w:p>
    <w:p w14:paraId="40B988FB" w14:textId="77777777" w:rsidR="00B15290" w:rsidRPr="00112DEF" w:rsidRDefault="00B15290" w:rsidP="00B15290">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8C8EED6" w14:textId="77777777" w:rsidR="00B15290" w:rsidRPr="00112DEF" w:rsidRDefault="00B15290" w:rsidP="00B15290">
      <w:pPr>
        <w:spacing w:line="360" w:lineRule="auto"/>
        <w:ind w:firstLine="567"/>
        <w:jc w:val="both"/>
        <w:rPr>
          <w:sz w:val="24"/>
          <w:szCs w:val="24"/>
        </w:rPr>
      </w:pPr>
      <w:r w:rsidRPr="00112DEF">
        <w:rPr>
          <w:sz w:val="24"/>
          <w:szCs w:val="24"/>
        </w:rPr>
        <w:t>ЗПИФ недвижимости "Нева Хаус" (Правила доверительного управления фондом зарегистрированы Банком России 02 ноября 2017 г. за № 3414)</w:t>
      </w:r>
    </w:p>
    <w:p w14:paraId="3F7F3F90" w14:textId="77777777" w:rsidR="00B15290" w:rsidRPr="00112DEF" w:rsidRDefault="00B15290" w:rsidP="00B15290">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w:t>
      </w:r>
      <w:bookmarkStart w:id="0" w:name="_GoBack"/>
      <w:bookmarkEnd w:id="0"/>
      <w:r w:rsidRPr="00112DEF">
        <w:rPr>
          <w:sz w:val="24"/>
          <w:szCs w:val="24"/>
        </w:rPr>
        <w:t>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6CFAEE14" w14:textId="0FB65D85" w:rsidR="00B15290" w:rsidRDefault="00B15290" w:rsidP="00B15290">
      <w:pPr>
        <w:spacing w:line="360" w:lineRule="auto"/>
        <w:ind w:firstLine="567"/>
        <w:jc w:val="both"/>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8F8DCE7" w14:textId="0A835FB2" w:rsidR="00B15290" w:rsidRDefault="00B15290">
      <w:r>
        <w:br w:type="page"/>
      </w:r>
    </w:p>
    <w:tbl>
      <w:tblPr>
        <w:tblW w:w="10186" w:type="dxa"/>
        <w:jc w:val="center"/>
        <w:tblLayout w:type="fixed"/>
        <w:tblLook w:val="0000" w:firstRow="0" w:lastRow="0" w:firstColumn="0" w:lastColumn="0" w:noHBand="0" w:noVBand="0"/>
      </w:tblPr>
      <w:tblGrid>
        <w:gridCol w:w="4878"/>
        <w:gridCol w:w="5308"/>
      </w:tblGrid>
      <w:tr w:rsidR="00863A55" w:rsidRPr="00063FDC" w14:paraId="6EC01A4D" w14:textId="77777777" w:rsidTr="00B15290">
        <w:trPr>
          <w:trHeight w:val="1977"/>
          <w:jc w:val="center"/>
        </w:trPr>
        <w:tc>
          <w:tcPr>
            <w:tcW w:w="4878" w:type="dxa"/>
          </w:tcPr>
          <w:p w14:paraId="15532DCD" w14:textId="19E4C8D2" w:rsidR="00863A55" w:rsidRPr="00063FDC" w:rsidRDefault="00863A55" w:rsidP="00C53AAB">
            <w:pPr>
              <w:pStyle w:val="8"/>
              <w:rPr>
                <w:color w:val="000000" w:themeColor="text1"/>
              </w:rPr>
            </w:pPr>
            <w:r w:rsidRPr="00063FDC">
              <w:rPr>
                <w:color w:val="000000" w:themeColor="text1"/>
              </w:rPr>
              <w:t>«СОГЛАСОВАНО»</w:t>
            </w:r>
            <w:r w:rsidRPr="00063FDC">
              <w:rPr>
                <w:color w:val="000000" w:themeColor="text1"/>
              </w:rPr>
              <w:tab/>
            </w:r>
          </w:p>
          <w:p w14:paraId="3310D309" w14:textId="77777777" w:rsidR="00863A55" w:rsidRPr="00063FDC" w:rsidRDefault="00863A55" w:rsidP="00863A55">
            <w:pPr>
              <w:suppressAutoHyphens w:val="0"/>
              <w:autoSpaceDE/>
              <w:ind w:firstLine="709"/>
              <w:jc w:val="both"/>
              <w:rPr>
                <w:color w:val="000000" w:themeColor="text1"/>
                <w:sz w:val="24"/>
                <w:szCs w:val="24"/>
                <w:lang w:eastAsia="ru-RU"/>
              </w:rPr>
            </w:pPr>
          </w:p>
          <w:p w14:paraId="277CD7A3" w14:textId="77777777" w:rsidR="00863A55" w:rsidRPr="00063FDC" w:rsidRDefault="00863A55" w:rsidP="00863A55">
            <w:pPr>
              <w:suppressAutoHyphens w:val="0"/>
              <w:autoSpaceDE/>
              <w:ind w:firstLine="25"/>
              <w:rPr>
                <w:color w:val="000000" w:themeColor="text1"/>
                <w:sz w:val="24"/>
                <w:szCs w:val="24"/>
                <w:lang w:eastAsia="ru-RU"/>
              </w:rPr>
            </w:pPr>
            <w:r w:rsidRPr="00063FDC">
              <w:rPr>
                <w:color w:val="000000" w:themeColor="text1"/>
                <w:sz w:val="24"/>
                <w:szCs w:val="24"/>
                <w:lang w:eastAsia="ru-RU"/>
              </w:rPr>
              <w:t>АО «Специализированный депозитарий «ИНФИНИТУМ»</w:t>
            </w:r>
          </w:p>
          <w:p w14:paraId="7B695A1C" w14:textId="77777777" w:rsidR="00863A55" w:rsidRPr="00063FDC" w:rsidRDefault="00863A55" w:rsidP="00863A55">
            <w:pPr>
              <w:suppressAutoHyphens w:val="0"/>
              <w:autoSpaceDE/>
              <w:ind w:firstLine="709"/>
              <w:jc w:val="both"/>
              <w:rPr>
                <w:color w:val="000000" w:themeColor="text1"/>
                <w:sz w:val="24"/>
                <w:szCs w:val="24"/>
                <w:lang w:eastAsia="ru-RU"/>
              </w:rPr>
            </w:pPr>
          </w:p>
          <w:p w14:paraId="13B2D278"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Генеральный директор</w:t>
            </w:r>
          </w:p>
          <w:p w14:paraId="4E410775" w14:textId="77777777" w:rsidR="00863A55" w:rsidRPr="00063FDC" w:rsidRDefault="00863A55" w:rsidP="00863A55">
            <w:pPr>
              <w:suppressAutoHyphens w:val="0"/>
              <w:autoSpaceDE/>
              <w:ind w:firstLine="709"/>
              <w:jc w:val="both"/>
              <w:rPr>
                <w:color w:val="000000" w:themeColor="text1"/>
                <w:sz w:val="24"/>
                <w:szCs w:val="24"/>
                <w:lang w:eastAsia="ru-RU"/>
              </w:rPr>
            </w:pPr>
          </w:p>
          <w:p w14:paraId="2FC7E062"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___________________ /Прасс П.И./</w:t>
            </w:r>
          </w:p>
          <w:p w14:paraId="21F7D104" w14:textId="77777777" w:rsidR="00863A55" w:rsidRPr="00063FDC" w:rsidRDefault="00863A55" w:rsidP="00863A55">
            <w:pPr>
              <w:suppressAutoHyphens w:val="0"/>
              <w:autoSpaceDE/>
              <w:ind w:firstLine="709"/>
              <w:jc w:val="both"/>
              <w:rPr>
                <w:color w:val="000000" w:themeColor="text1"/>
                <w:sz w:val="24"/>
                <w:szCs w:val="24"/>
                <w:lang w:eastAsia="ru-RU"/>
              </w:rPr>
            </w:pPr>
          </w:p>
          <w:p w14:paraId="3B1A4FE2" w14:textId="4A8A6A7D" w:rsidR="00863A55" w:rsidRPr="00063FDC" w:rsidRDefault="00863A55" w:rsidP="006B3B61">
            <w:pPr>
              <w:suppressAutoHyphens w:val="0"/>
              <w:autoSpaceDE/>
              <w:jc w:val="both"/>
              <w:rPr>
                <w:color w:val="000000" w:themeColor="text1"/>
                <w:sz w:val="24"/>
                <w:szCs w:val="24"/>
                <w:lang w:eastAsia="ru-RU"/>
              </w:rPr>
            </w:pPr>
            <w:r w:rsidRPr="00063FDC">
              <w:rPr>
                <w:bCs/>
                <w:color w:val="000000" w:themeColor="text1"/>
                <w:sz w:val="24"/>
                <w:szCs w:val="24"/>
                <w:lang w:eastAsia="ru-RU"/>
              </w:rPr>
              <w:t>«</w:t>
            </w:r>
            <w:r w:rsidR="006B3B61">
              <w:rPr>
                <w:bCs/>
                <w:color w:val="000000" w:themeColor="text1"/>
                <w:sz w:val="24"/>
                <w:szCs w:val="24"/>
                <w:lang w:val="en-US" w:eastAsia="ru-RU"/>
              </w:rPr>
              <w:t>28</w:t>
            </w:r>
            <w:r w:rsidRPr="00063FDC">
              <w:rPr>
                <w:bCs/>
                <w:color w:val="000000" w:themeColor="text1"/>
                <w:sz w:val="24"/>
                <w:szCs w:val="24"/>
                <w:lang w:eastAsia="ru-RU"/>
              </w:rPr>
              <w:t xml:space="preserve">»    </w:t>
            </w:r>
            <w:r w:rsidR="006B3B61">
              <w:rPr>
                <w:bCs/>
                <w:color w:val="000000" w:themeColor="text1"/>
                <w:sz w:val="24"/>
                <w:szCs w:val="24"/>
                <w:lang w:eastAsia="ru-RU"/>
              </w:rPr>
              <w:t>марта</w:t>
            </w:r>
            <w:r w:rsidRPr="00063FDC">
              <w:rPr>
                <w:bCs/>
                <w:color w:val="000000" w:themeColor="text1"/>
                <w:sz w:val="24"/>
                <w:szCs w:val="24"/>
                <w:lang w:eastAsia="ru-RU"/>
              </w:rPr>
              <w:t xml:space="preserve">    202</w:t>
            </w:r>
            <w:r w:rsidR="006B3B61">
              <w:rPr>
                <w:bCs/>
                <w:color w:val="000000" w:themeColor="text1"/>
                <w:sz w:val="24"/>
                <w:szCs w:val="24"/>
                <w:lang w:eastAsia="ru-RU"/>
              </w:rPr>
              <w:t>2</w:t>
            </w:r>
            <w:r w:rsidRPr="00063FDC">
              <w:rPr>
                <w:bCs/>
                <w:color w:val="000000" w:themeColor="text1"/>
                <w:sz w:val="24"/>
                <w:szCs w:val="24"/>
                <w:lang w:eastAsia="ru-RU"/>
              </w:rPr>
              <w:t xml:space="preserve"> г.</w:t>
            </w:r>
          </w:p>
        </w:tc>
        <w:tc>
          <w:tcPr>
            <w:tcW w:w="5308" w:type="dxa"/>
          </w:tcPr>
          <w:p w14:paraId="7B776B3D" w14:textId="77777777" w:rsidR="00863A55" w:rsidRPr="00063FDC" w:rsidRDefault="00863A55" w:rsidP="00863A55">
            <w:pPr>
              <w:suppressAutoHyphens w:val="0"/>
              <w:autoSpaceDE/>
              <w:ind w:firstLine="709"/>
              <w:jc w:val="center"/>
              <w:rPr>
                <w:b/>
                <w:bCs/>
                <w:color w:val="000000" w:themeColor="text1"/>
                <w:sz w:val="24"/>
                <w:szCs w:val="24"/>
                <w:lang w:eastAsia="ru-RU"/>
              </w:rPr>
            </w:pPr>
            <w:r w:rsidRPr="00063FDC">
              <w:rPr>
                <w:b/>
                <w:bCs/>
                <w:color w:val="000000" w:themeColor="text1"/>
                <w:sz w:val="24"/>
                <w:szCs w:val="24"/>
                <w:lang w:eastAsia="ru-RU"/>
              </w:rPr>
              <w:t>«УТВЕРЖДЕНО»</w:t>
            </w:r>
          </w:p>
          <w:p w14:paraId="2F59F0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287418D0" w14:textId="77777777" w:rsidR="00863A55" w:rsidRPr="00063FDC" w:rsidRDefault="00863A55" w:rsidP="00863A55">
            <w:pPr>
              <w:suppressAutoHyphens w:val="0"/>
              <w:autoSpaceDE/>
              <w:ind w:firstLine="709"/>
              <w:rPr>
                <w:bCs/>
                <w:color w:val="000000" w:themeColor="text1"/>
                <w:sz w:val="24"/>
                <w:szCs w:val="24"/>
                <w:lang w:eastAsia="ru-RU"/>
              </w:rPr>
            </w:pPr>
            <w:r w:rsidRPr="00063FDC">
              <w:rPr>
                <w:bCs/>
                <w:color w:val="000000" w:themeColor="text1"/>
                <w:sz w:val="24"/>
                <w:szCs w:val="24"/>
                <w:lang w:eastAsia="ru-RU"/>
              </w:rPr>
              <w:t xml:space="preserve">            ТКБ Инвестмент Партнерс</w:t>
            </w:r>
          </w:p>
          <w:p w14:paraId="08E89ADD"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(Акционерное общество)          </w:t>
            </w:r>
          </w:p>
          <w:p w14:paraId="5E89C5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66729E26"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Генеральный директор </w:t>
            </w:r>
          </w:p>
          <w:p w14:paraId="5629F923" w14:textId="77777777" w:rsidR="00863A55" w:rsidRPr="00063FDC" w:rsidRDefault="00863A55" w:rsidP="00863A55">
            <w:pPr>
              <w:suppressAutoHyphens w:val="0"/>
              <w:autoSpaceDE/>
              <w:ind w:firstLine="709"/>
              <w:jc w:val="right"/>
              <w:rPr>
                <w:b/>
                <w:bCs/>
                <w:color w:val="000000" w:themeColor="text1"/>
                <w:sz w:val="24"/>
                <w:szCs w:val="24"/>
                <w:lang w:eastAsia="ru-RU"/>
              </w:rPr>
            </w:pPr>
          </w:p>
          <w:p w14:paraId="23478BAF" w14:textId="77777777" w:rsidR="00863A55" w:rsidRPr="00063FDC" w:rsidRDefault="00863A55" w:rsidP="00863A55">
            <w:pPr>
              <w:suppressAutoHyphens w:val="0"/>
              <w:autoSpaceDE/>
              <w:rPr>
                <w:b/>
                <w:bCs/>
                <w:color w:val="000000" w:themeColor="text1"/>
                <w:sz w:val="24"/>
                <w:szCs w:val="24"/>
                <w:lang w:eastAsia="ru-RU"/>
              </w:rPr>
            </w:pPr>
            <w:r w:rsidRPr="00063FDC">
              <w:rPr>
                <w:bCs/>
                <w:color w:val="000000" w:themeColor="text1"/>
                <w:sz w:val="24"/>
                <w:szCs w:val="24"/>
                <w:lang w:eastAsia="ru-RU"/>
              </w:rPr>
              <w:t xml:space="preserve">    _________________   /</w:t>
            </w:r>
            <w:r w:rsidRPr="00063FDC">
              <w:rPr>
                <w:rFonts w:ascii="Calibri" w:eastAsia="Calibri" w:hAnsi="Calibri"/>
                <w:color w:val="000000" w:themeColor="text1"/>
                <w:sz w:val="22"/>
                <w:szCs w:val="22"/>
                <w:lang w:eastAsia="en-US"/>
              </w:rPr>
              <w:t xml:space="preserve"> </w:t>
            </w:r>
            <w:r w:rsidRPr="00063FDC">
              <w:rPr>
                <w:bCs/>
                <w:color w:val="000000" w:themeColor="text1"/>
                <w:sz w:val="24"/>
                <w:szCs w:val="24"/>
                <w:lang w:eastAsia="ru-RU"/>
              </w:rPr>
              <w:t>Кириллов В.Е./</w:t>
            </w:r>
          </w:p>
          <w:p w14:paraId="0AC6757F"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7A963019" w14:textId="10120E12" w:rsidR="00863A55" w:rsidRPr="00063FDC" w:rsidRDefault="00863A55" w:rsidP="006B3B61">
            <w:pPr>
              <w:tabs>
                <w:tab w:val="left" w:pos="4122"/>
              </w:tabs>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       «</w:t>
            </w:r>
            <w:r w:rsidR="006B3B61">
              <w:rPr>
                <w:bCs/>
                <w:color w:val="000000" w:themeColor="text1"/>
                <w:sz w:val="24"/>
                <w:szCs w:val="24"/>
                <w:lang w:eastAsia="ru-RU"/>
              </w:rPr>
              <w:t>28</w:t>
            </w:r>
            <w:r w:rsidRPr="00063FDC">
              <w:rPr>
                <w:bCs/>
                <w:color w:val="000000" w:themeColor="text1"/>
                <w:sz w:val="24"/>
                <w:szCs w:val="24"/>
                <w:lang w:eastAsia="ru-RU"/>
              </w:rPr>
              <w:t xml:space="preserve">»    </w:t>
            </w:r>
            <w:r w:rsidR="006B3B61">
              <w:rPr>
                <w:bCs/>
                <w:color w:val="000000" w:themeColor="text1"/>
                <w:sz w:val="24"/>
                <w:szCs w:val="24"/>
                <w:lang w:eastAsia="ru-RU"/>
              </w:rPr>
              <w:t>марта</w:t>
            </w:r>
            <w:r w:rsidRPr="00063FDC">
              <w:rPr>
                <w:bCs/>
                <w:color w:val="000000" w:themeColor="text1"/>
                <w:sz w:val="24"/>
                <w:szCs w:val="24"/>
                <w:lang w:eastAsia="ru-RU"/>
              </w:rPr>
              <w:t xml:space="preserve">      202</w:t>
            </w:r>
            <w:r w:rsidR="006B3B61">
              <w:rPr>
                <w:bCs/>
                <w:color w:val="000000" w:themeColor="text1"/>
                <w:sz w:val="24"/>
                <w:szCs w:val="24"/>
                <w:lang w:eastAsia="ru-RU"/>
              </w:rPr>
              <w:t>2</w:t>
            </w:r>
            <w:r w:rsidRPr="00063FDC">
              <w:rPr>
                <w:bCs/>
                <w:color w:val="000000" w:themeColor="text1"/>
                <w:sz w:val="24"/>
                <w:szCs w:val="24"/>
                <w:lang w:eastAsia="ru-RU"/>
              </w:rPr>
              <w:t xml:space="preserve"> г.                                          </w:t>
            </w:r>
          </w:p>
        </w:tc>
      </w:tr>
    </w:tbl>
    <w:p w14:paraId="5ABDF97A" w14:textId="77777777" w:rsidR="00B25149" w:rsidRPr="00063FDC" w:rsidRDefault="00B25149" w:rsidP="00F6584F">
      <w:pPr>
        <w:widowControl w:val="0"/>
        <w:ind w:firstLine="708"/>
        <w:jc w:val="center"/>
        <w:rPr>
          <w:b/>
          <w:snapToGrid w:val="0"/>
          <w:color w:val="000000" w:themeColor="text1"/>
          <w:sz w:val="24"/>
          <w:szCs w:val="24"/>
        </w:rPr>
      </w:pPr>
    </w:p>
    <w:p w14:paraId="4518A0C0" w14:textId="77777777" w:rsidR="00863A55" w:rsidRPr="00063FDC" w:rsidRDefault="00863A55" w:rsidP="00F6584F">
      <w:pPr>
        <w:widowControl w:val="0"/>
        <w:ind w:firstLine="708"/>
        <w:jc w:val="center"/>
        <w:rPr>
          <w:b/>
          <w:snapToGrid w:val="0"/>
          <w:color w:val="000000" w:themeColor="text1"/>
          <w:sz w:val="24"/>
          <w:szCs w:val="24"/>
        </w:rPr>
      </w:pPr>
    </w:p>
    <w:p w14:paraId="5CDBC103" w14:textId="77777777" w:rsidR="00863A55" w:rsidRPr="00063FDC" w:rsidRDefault="00863A55" w:rsidP="00F6584F">
      <w:pPr>
        <w:widowControl w:val="0"/>
        <w:ind w:firstLine="708"/>
        <w:jc w:val="center"/>
        <w:rPr>
          <w:b/>
          <w:snapToGrid w:val="0"/>
          <w:color w:val="000000" w:themeColor="text1"/>
          <w:sz w:val="24"/>
          <w:szCs w:val="24"/>
        </w:rPr>
      </w:pPr>
    </w:p>
    <w:p w14:paraId="75887311" w14:textId="77777777" w:rsidR="00863A55" w:rsidRPr="00063FDC" w:rsidRDefault="00863A55" w:rsidP="00F6584F">
      <w:pPr>
        <w:widowControl w:val="0"/>
        <w:ind w:firstLine="708"/>
        <w:jc w:val="center"/>
        <w:rPr>
          <w:b/>
          <w:snapToGrid w:val="0"/>
          <w:color w:val="000000" w:themeColor="text1"/>
          <w:sz w:val="24"/>
          <w:szCs w:val="24"/>
        </w:rPr>
      </w:pPr>
    </w:p>
    <w:p w14:paraId="1044E568" w14:textId="6802718C" w:rsidR="00B25149" w:rsidRPr="006B3B61" w:rsidRDefault="006B3B61" w:rsidP="006B3B61">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3E2175FD" w14:textId="77777777" w:rsidR="009E578F" w:rsidRPr="00063FDC" w:rsidRDefault="009E578F" w:rsidP="009E578F">
      <w:pPr>
        <w:tabs>
          <w:tab w:val="left" w:pos="8364"/>
        </w:tabs>
        <w:spacing w:line="360" w:lineRule="auto"/>
        <w:jc w:val="center"/>
        <w:outlineLvl w:val="0"/>
        <w:rPr>
          <w:b/>
          <w:snapToGrid w:val="0"/>
          <w:color w:val="000000" w:themeColor="text1"/>
          <w:sz w:val="28"/>
          <w:szCs w:val="28"/>
        </w:rPr>
      </w:pPr>
      <w:r w:rsidRPr="00063FDC">
        <w:rPr>
          <w:b/>
          <w:snapToGrid w:val="0"/>
          <w:color w:val="000000" w:themeColor="text1"/>
          <w:sz w:val="28"/>
          <w:szCs w:val="28"/>
        </w:rPr>
        <w:t>Правила определения стоимости чистых активов</w:t>
      </w:r>
    </w:p>
    <w:p w14:paraId="48F0B0ED" w14:textId="77777777" w:rsidR="009E578F" w:rsidRPr="00063FDC" w:rsidRDefault="009E578F" w:rsidP="009E578F">
      <w:pPr>
        <w:tabs>
          <w:tab w:val="left" w:pos="8364"/>
        </w:tabs>
        <w:spacing w:line="360" w:lineRule="auto"/>
        <w:jc w:val="both"/>
        <w:outlineLvl w:val="0"/>
        <w:rPr>
          <w:b/>
          <w:snapToGrid w:val="0"/>
          <w:color w:val="000000" w:themeColor="text1"/>
          <w:sz w:val="28"/>
          <w:szCs w:val="28"/>
        </w:rPr>
      </w:pPr>
    </w:p>
    <w:p w14:paraId="54C05355" w14:textId="325A417C" w:rsidR="009E578F" w:rsidRPr="00063FDC" w:rsidRDefault="00863A55" w:rsidP="00FC6724">
      <w:pPr>
        <w:tabs>
          <w:tab w:val="left" w:pos="8364"/>
        </w:tabs>
        <w:spacing w:line="360" w:lineRule="auto"/>
        <w:jc w:val="center"/>
        <w:outlineLvl w:val="0"/>
        <w:rPr>
          <w:rFonts w:ascii="Verdana" w:hAnsi="Verdana"/>
          <w:snapToGrid w:val="0"/>
          <w:color w:val="000000" w:themeColor="text1"/>
          <w:vertAlign w:val="superscript"/>
        </w:rPr>
      </w:pPr>
      <w:r w:rsidRPr="00063FDC">
        <w:rPr>
          <w:b/>
          <w:snapToGrid w:val="0"/>
          <w:color w:val="000000" w:themeColor="text1"/>
          <w:sz w:val="28"/>
          <w:szCs w:val="28"/>
        </w:rPr>
        <w:t xml:space="preserve">Закрытый паевой инвестиционный фонд </w:t>
      </w:r>
      <w:r w:rsidR="00AF784E" w:rsidRPr="00063FDC">
        <w:rPr>
          <w:b/>
          <w:snapToGrid w:val="0"/>
          <w:color w:val="000000" w:themeColor="text1"/>
          <w:sz w:val="28"/>
          <w:szCs w:val="28"/>
        </w:rPr>
        <w:t>недвижимости</w:t>
      </w:r>
      <w:r w:rsidRPr="00063FDC">
        <w:rPr>
          <w:b/>
          <w:snapToGrid w:val="0"/>
          <w:color w:val="000000" w:themeColor="text1"/>
          <w:sz w:val="28"/>
          <w:szCs w:val="28"/>
        </w:rPr>
        <w:t xml:space="preserve"> «</w:t>
      </w:r>
      <w:r w:rsidR="00AF784E" w:rsidRPr="00063FDC">
        <w:rPr>
          <w:b/>
          <w:snapToGrid w:val="0"/>
          <w:color w:val="000000" w:themeColor="text1"/>
          <w:sz w:val="28"/>
          <w:szCs w:val="28"/>
        </w:rPr>
        <w:t>Нева Хаус</w:t>
      </w:r>
      <w:r w:rsidRPr="00063FDC">
        <w:rPr>
          <w:b/>
          <w:snapToGrid w:val="0"/>
          <w:color w:val="000000" w:themeColor="text1"/>
          <w:sz w:val="28"/>
          <w:szCs w:val="28"/>
        </w:rPr>
        <w:t>»</w:t>
      </w:r>
      <w:r w:rsidRPr="00063FDC">
        <w:rPr>
          <w:rFonts w:ascii="Verdana" w:hAnsi="Verdana"/>
          <w:snapToGrid w:val="0"/>
          <w:color w:val="000000" w:themeColor="text1"/>
          <w:vertAlign w:val="superscript"/>
        </w:rPr>
        <w:t xml:space="preserve"> </w:t>
      </w:r>
      <w:r w:rsidR="00AF784E" w:rsidRPr="00063FDC">
        <w:rPr>
          <w:rFonts w:ascii="Verdana" w:hAnsi="Verdana"/>
          <w:snapToGrid w:val="0"/>
          <w:color w:val="000000" w:themeColor="text1"/>
          <w:vertAlign w:val="superscript"/>
        </w:rPr>
        <w:t xml:space="preserve">                  </w:t>
      </w:r>
      <w:r w:rsidR="009E578F" w:rsidRPr="00063FDC">
        <w:rPr>
          <w:rFonts w:ascii="Verdana" w:hAnsi="Verdana"/>
          <w:snapToGrid w:val="0"/>
          <w:color w:val="000000" w:themeColor="text1"/>
          <w:vertAlign w:val="superscript"/>
        </w:rPr>
        <w:t>(полное название паевого инвестиционного фонда)</w:t>
      </w:r>
    </w:p>
    <w:p w14:paraId="7149B88C" w14:textId="77777777" w:rsidR="00F6584F" w:rsidRPr="00063FDC" w:rsidRDefault="00F6584F" w:rsidP="00F6584F">
      <w:pPr>
        <w:widowControl w:val="0"/>
        <w:jc w:val="center"/>
        <w:rPr>
          <w:b/>
          <w:snapToGrid w:val="0"/>
          <w:color w:val="000000" w:themeColor="text1"/>
          <w:sz w:val="24"/>
          <w:szCs w:val="24"/>
        </w:rPr>
      </w:pPr>
    </w:p>
    <w:p w14:paraId="3439B671" w14:textId="77777777" w:rsidR="00F6584F" w:rsidRPr="00063FDC" w:rsidRDefault="00F6584F" w:rsidP="00F6584F">
      <w:pPr>
        <w:widowControl w:val="0"/>
        <w:jc w:val="center"/>
        <w:rPr>
          <w:b/>
          <w:snapToGrid w:val="0"/>
          <w:color w:val="000000" w:themeColor="text1"/>
          <w:sz w:val="24"/>
          <w:szCs w:val="24"/>
        </w:rPr>
      </w:pPr>
    </w:p>
    <w:p w14:paraId="2518CFF7" w14:textId="77777777" w:rsidR="00F6584F" w:rsidRPr="00063FDC" w:rsidRDefault="00F6584F" w:rsidP="00F6584F">
      <w:pPr>
        <w:widowControl w:val="0"/>
        <w:jc w:val="center"/>
        <w:rPr>
          <w:b/>
          <w:snapToGrid w:val="0"/>
          <w:color w:val="000000" w:themeColor="text1"/>
          <w:sz w:val="24"/>
          <w:szCs w:val="24"/>
        </w:rPr>
      </w:pPr>
    </w:p>
    <w:p w14:paraId="43EEF213" w14:textId="77777777" w:rsidR="00F6584F" w:rsidRPr="00063FDC" w:rsidRDefault="00F6584F" w:rsidP="00F6584F">
      <w:pPr>
        <w:widowControl w:val="0"/>
        <w:jc w:val="center"/>
        <w:rPr>
          <w:b/>
          <w:snapToGrid w:val="0"/>
          <w:color w:val="000000" w:themeColor="text1"/>
          <w:sz w:val="24"/>
          <w:szCs w:val="24"/>
        </w:rPr>
      </w:pPr>
    </w:p>
    <w:p w14:paraId="40C99759" w14:textId="77777777" w:rsidR="00F6584F" w:rsidRPr="00063FDC" w:rsidRDefault="00421397">
      <w:pPr>
        <w:suppressAutoHyphens w:val="0"/>
        <w:autoSpaceDE/>
        <w:spacing w:after="160" w:line="259" w:lineRule="auto"/>
        <w:rPr>
          <w:color w:val="000000" w:themeColor="text1"/>
          <w:sz w:val="24"/>
          <w:szCs w:val="24"/>
        </w:rPr>
      </w:pPr>
      <w:r w:rsidRPr="00063FDC">
        <w:rPr>
          <w:color w:val="000000" w:themeColor="text1"/>
          <w:sz w:val="24"/>
          <w:szCs w:val="24"/>
        </w:rPr>
        <w:br w:type="page"/>
      </w:r>
    </w:p>
    <w:p w14:paraId="10C00003" w14:textId="77777777" w:rsidR="00F6584F" w:rsidRPr="00063FDC" w:rsidRDefault="00F6584F" w:rsidP="00F0755E">
      <w:pPr>
        <w:jc w:val="center"/>
        <w:rPr>
          <w:b/>
          <w:bCs/>
          <w:iCs/>
          <w:caps/>
          <w:color w:val="000000" w:themeColor="text1"/>
          <w:sz w:val="24"/>
          <w:szCs w:val="24"/>
          <w:lang w:eastAsia="ru-RU"/>
        </w:rPr>
      </w:pPr>
      <w:r w:rsidRPr="00063FDC">
        <w:rPr>
          <w:b/>
          <w:bCs/>
          <w:iCs/>
          <w:caps/>
          <w:color w:val="000000" w:themeColor="text1"/>
          <w:sz w:val="24"/>
          <w:szCs w:val="24"/>
          <w:lang w:eastAsia="ru-RU"/>
        </w:rPr>
        <w:lastRenderedPageBreak/>
        <w:t>Термины и определения, используемые в Правилах опред</w:t>
      </w:r>
      <w:r w:rsidR="00DA443D" w:rsidRPr="00063FDC">
        <w:rPr>
          <w:b/>
          <w:bCs/>
          <w:iCs/>
          <w:caps/>
          <w:color w:val="000000" w:themeColor="text1"/>
          <w:sz w:val="24"/>
          <w:szCs w:val="24"/>
          <w:lang w:eastAsia="ru-RU"/>
        </w:rPr>
        <w:t>еления стоимости чистых активов</w:t>
      </w:r>
    </w:p>
    <w:p w14:paraId="30CD1BED" w14:textId="77777777" w:rsidR="009B35EE" w:rsidRPr="00063FDC" w:rsidRDefault="009B35EE" w:rsidP="00F6584F">
      <w:pPr>
        <w:spacing w:line="360" w:lineRule="auto"/>
        <w:jc w:val="center"/>
        <w:rPr>
          <w:b/>
          <w:bCs/>
          <w:iCs/>
          <w:caps/>
          <w:color w:val="000000" w:themeColor="text1"/>
          <w:sz w:val="24"/>
          <w:szCs w:val="24"/>
          <w:lang w:eastAsia="ru-RU"/>
        </w:rPr>
      </w:pPr>
    </w:p>
    <w:p w14:paraId="47B52CB6" w14:textId="77777777" w:rsidR="008F4424" w:rsidRPr="00063FDC" w:rsidRDefault="00421397" w:rsidP="001D1F4C">
      <w:pPr>
        <w:pStyle w:val="a"/>
        <w:numPr>
          <w:ilvl w:val="0"/>
          <w:numId w:val="0"/>
        </w:numPr>
        <w:ind w:firstLine="708"/>
        <w:rPr>
          <w:rFonts w:ascii="Times New Roman" w:hAnsi="Times New Roman"/>
          <w:color w:val="000000" w:themeColor="text1"/>
          <w:sz w:val="24"/>
          <w:szCs w:val="24"/>
        </w:rPr>
      </w:pPr>
      <w:r w:rsidRPr="00063FDC">
        <w:rPr>
          <w:rFonts w:ascii="Times New Roman" w:hAnsi="Times New Roman"/>
          <w:b/>
          <w:color w:val="000000" w:themeColor="text1"/>
          <w:sz w:val="24"/>
          <w:szCs w:val="24"/>
        </w:rPr>
        <w:t>Стоимость чистых активов (СЧА)</w:t>
      </w:r>
      <w:r w:rsidRPr="00063FDC">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063FDC">
        <w:rPr>
          <w:rFonts w:ascii="Times New Roman" w:hAnsi="Times New Roman"/>
          <w:color w:val="000000" w:themeColor="text1"/>
          <w:sz w:val="24"/>
          <w:szCs w:val="24"/>
        </w:rPr>
        <w:t xml:space="preserve"> </w:t>
      </w:r>
      <w:r w:rsidRPr="00063FDC">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517EC7A3"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Активный рынок</w:t>
      </w:r>
      <w:r w:rsidRPr="00063FDC">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Основной рынок</w:t>
      </w:r>
      <w:r w:rsidRPr="00063FDC">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063FDC">
        <w:rPr>
          <w:color w:val="000000" w:themeColor="text1"/>
          <w:sz w:val="24"/>
          <w:szCs w:val="24"/>
          <w:lang w:eastAsia="ru-RU"/>
        </w:rPr>
        <w:t>мом торгов и уровнем активности.</w:t>
      </w:r>
    </w:p>
    <w:p w14:paraId="12700888" w14:textId="77777777" w:rsidR="008C3449" w:rsidRPr="00063FDC" w:rsidRDefault="005D5CDD"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Наиболее выгодный рынок</w:t>
      </w:r>
      <w:r w:rsidR="008C3449" w:rsidRPr="00063FDC">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063FDC" w:rsidRDefault="002C5491" w:rsidP="00C9798E">
      <w:pPr>
        <w:pStyle w:val="12"/>
        <w:tabs>
          <w:tab w:val="left" w:pos="993"/>
        </w:tabs>
        <w:spacing w:line="360" w:lineRule="auto"/>
        <w:ind w:left="0" w:firstLine="709"/>
        <w:jc w:val="both"/>
        <w:rPr>
          <w:rFonts w:eastAsia="Batang"/>
          <w:b/>
          <w:color w:val="000000" w:themeColor="text1"/>
          <w:szCs w:val="24"/>
        </w:rPr>
      </w:pPr>
      <w:r w:rsidRPr="00063FDC">
        <w:rPr>
          <w:b/>
          <w:color w:val="000000" w:themeColor="text1"/>
          <w:szCs w:val="24"/>
        </w:rPr>
        <w:t>Справедливая стоимость</w:t>
      </w:r>
      <w:r w:rsidRPr="00063FDC">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063FDC" w:rsidRDefault="002C5491"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Уровень цены</w:t>
      </w:r>
      <w:r w:rsidRPr="00063FDC">
        <w:rPr>
          <w:rFonts w:eastAsia="Batang"/>
          <w:color w:val="000000" w:themeColor="text1"/>
          <w:szCs w:val="24"/>
        </w:rPr>
        <w:t xml:space="preserve"> </w:t>
      </w:r>
      <w:r w:rsidRPr="00063FDC">
        <w:rPr>
          <w:rFonts w:eastAsia="Batang"/>
          <w:b/>
          <w:color w:val="000000" w:themeColor="text1"/>
          <w:szCs w:val="24"/>
        </w:rPr>
        <w:t>при определении справедливой стоимости</w:t>
      </w:r>
      <w:r w:rsidRPr="00063FDC">
        <w:rPr>
          <w:rFonts w:eastAsia="Batang"/>
          <w:color w:val="000000" w:themeColor="text1"/>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063FDC">
        <w:rPr>
          <w:rFonts w:eastAsia="Batang"/>
          <w:color w:val="000000" w:themeColor="text1"/>
          <w:szCs w:val="24"/>
        </w:rPr>
        <w:t>:</w:t>
      </w:r>
      <w:r w:rsidRPr="00063FDC">
        <w:rPr>
          <w:rFonts w:eastAsia="Batang"/>
          <w:color w:val="000000" w:themeColor="text1"/>
          <w:szCs w:val="24"/>
        </w:rPr>
        <w:t xml:space="preserve"> </w:t>
      </w:r>
    </w:p>
    <w:p w14:paraId="2B7BE67A" w14:textId="77777777" w:rsidR="00CC7FC1" w:rsidRPr="00063FDC" w:rsidRDefault="00421397"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1-й уровень</w:t>
      </w:r>
      <w:r w:rsidRPr="00063FDC">
        <w:rPr>
          <w:color w:val="000000" w:themeColor="text1"/>
          <w:szCs w:val="24"/>
        </w:rPr>
        <w:t xml:space="preserve"> – </w:t>
      </w:r>
      <w:r w:rsidR="005D5CDD" w:rsidRPr="00063FDC">
        <w:rPr>
          <w:rFonts w:eastAsia="Batang"/>
          <w:color w:val="000000" w:themeColor="text1"/>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063FDC">
        <w:rPr>
          <w:rFonts w:eastAsia="Batang"/>
          <w:color w:val="000000" w:themeColor="text1"/>
          <w:szCs w:val="24"/>
          <w:lang w:eastAsia="ar-SA"/>
        </w:rPr>
        <w:t>.</w:t>
      </w:r>
    </w:p>
    <w:p w14:paraId="4B4595B6" w14:textId="77777777" w:rsidR="00AD73B0" w:rsidRPr="00063FDC" w:rsidRDefault="00CC7FC1"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rPr>
        <w:t xml:space="preserve"> </w:t>
      </w:r>
      <w:r w:rsidR="005D5CDD" w:rsidRPr="00063FDC">
        <w:rPr>
          <w:color w:val="000000" w:themeColor="text1"/>
          <w:sz w:val="24"/>
          <w:szCs w:val="24"/>
          <w:lang w:eastAsia="ru-RU"/>
        </w:rPr>
        <w:t>В рамках Уровня 1 акцент делается на определении следующего:</w:t>
      </w:r>
    </w:p>
    <w:p w14:paraId="478D3438" w14:textId="77777777" w:rsidR="00AD73B0" w:rsidRPr="00063FDC" w:rsidRDefault="005D5CDD"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 xml:space="preserve">(a) основного рынка для соответствующего актива или </w:t>
      </w:r>
      <w:r w:rsidR="00FB6B51" w:rsidRPr="00063FDC">
        <w:rPr>
          <w:color w:val="000000" w:themeColor="text1"/>
          <w:sz w:val="24"/>
          <w:szCs w:val="24"/>
          <w:lang w:eastAsia="ru-RU"/>
        </w:rPr>
        <w:t>обязательства, или</w:t>
      </w:r>
      <w:r w:rsidRPr="00063FDC">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063FDC" w:rsidRDefault="005D5CDD" w:rsidP="00C9798E">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063FDC" w:rsidRDefault="00421397" w:rsidP="00C9798E">
      <w:pPr>
        <w:autoSpaceDN w:val="0"/>
        <w:adjustRightInd w:val="0"/>
        <w:spacing w:line="360" w:lineRule="auto"/>
        <w:ind w:firstLine="708"/>
        <w:jc w:val="both"/>
        <w:rPr>
          <w:color w:val="000000" w:themeColor="text1"/>
          <w:sz w:val="24"/>
          <w:szCs w:val="24"/>
        </w:rPr>
      </w:pPr>
      <w:r w:rsidRPr="00063FDC">
        <w:rPr>
          <w:b/>
          <w:color w:val="000000" w:themeColor="text1"/>
          <w:sz w:val="24"/>
          <w:szCs w:val="24"/>
          <w:lang w:eastAsia="ru-RU"/>
        </w:rPr>
        <w:t>2-й уровень</w:t>
      </w:r>
      <w:r w:rsidRPr="00063FDC">
        <w:rPr>
          <w:color w:val="000000" w:themeColor="text1"/>
          <w:sz w:val="24"/>
          <w:szCs w:val="24"/>
          <w:lang w:eastAsia="ru-RU"/>
        </w:rPr>
        <w:t xml:space="preserve"> –</w:t>
      </w:r>
      <w:r w:rsidR="00CC7FC1" w:rsidRPr="00063FDC">
        <w:rPr>
          <w:color w:val="000000" w:themeColor="text1"/>
          <w:sz w:val="24"/>
          <w:szCs w:val="24"/>
          <w:lang w:eastAsia="ru-RU"/>
        </w:rPr>
        <w:t>цена, определенная на основании</w:t>
      </w:r>
      <w:r w:rsidRPr="00063FDC">
        <w:rPr>
          <w:color w:val="000000" w:themeColor="text1"/>
          <w:sz w:val="24"/>
          <w:szCs w:val="24"/>
          <w:lang w:eastAsia="ru-RU"/>
        </w:rPr>
        <w:t xml:space="preserve"> </w:t>
      </w:r>
      <w:r w:rsidR="00CC7FC1" w:rsidRPr="00063FDC">
        <w:rPr>
          <w:color w:val="000000" w:themeColor="text1"/>
          <w:sz w:val="24"/>
          <w:szCs w:val="24"/>
          <w:lang w:eastAsia="ru-RU"/>
        </w:rPr>
        <w:t>исходных данных</w:t>
      </w:r>
      <w:r w:rsidR="005D5CDD" w:rsidRPr="00063FDC">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3-й уровень</w:t>
      </w:r>
      <w:r w:rsidRPr="00063FDC">
        <w:rPr>
          <w:color w:val="000000" w:themeColor="text1"/>
          <w:sz w:val="24"/>
          <w:szCs w:val="24"/>
          <w:lang w:eastAsia="ru-RU"/>
        </w:rPr>
        <w:t xml:space="preserve"> – цена, определенная на основ</w:t>
      </w:r>
      <w:r w:rsidR="00CC7FC1" w:rsidRPr="00063FDC">
        <w:rPr>
          <w:color w:val="000000" w:themeColor="text1"/>
          <w:sz w:val="24"/>
          <w:szCs w:val="24"/>
          <w:lang w:eastAsia="ru-RU"/>
        </w:rPr>
        <w:t>ании</w:t>
      </w:r>
      <w:r w:rsidRPr="00063FDC">
        <w:rPr>
          <w:color w:val="000000" w:themeColor="text1"/>
          <w:sz w:val="24"/>
          <w:szCs w:val="24"/>
          <w:lang w:eastAsia="ru-RU"/>
        </w:rPr>
        <w:t xml:space="preserve"> </w:t>
      </w:r>
      <w:r w:rsidR="00CC7FC1" w:rsidRPr="00063FDC">
        <w:rPr>
          <w:color w:val="000000" w:themeColor="text1"/>
          <w:sz w:val="24"/>
          <w:szCs w:val="24"/>
        </w:rPr>
        <w:t>ненаблюдаемые исходных данных</w:t>
      </w:r>
      <w:r w:rsidR="005D5CDD" w:rsidRPr="00063FDC">
        <w:rPr>
          <w:color w:val="000000" w:themeColor="text1"/>
          <w:sz w:val="24"/>
          <w:szCs w:val="24"/>
        </w:rPr>
        <w:t xml:space="preserve"> в отн</w:t>
      </w:r>
      <w:r w:rsidR="00C9798E" w:rsidRPr="00063FDC">
        <w:rPr>
          <w:color w:val="000000" w:themeColor="text1"/>
          <w:sz w:val="24"/>
          <w:szCs w:val="24"/>
        </w:rPr>
        <w:t xml:space="preserve">ошении актива или обязательства. </w:t>
      </w:r>
    </w:p>
    <w:p w14:paraId="0A19E4FE" w14:textId="77777777" w:rsidR="00825E6A"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rPr>
        <w:t>Кредитный риск</w:t>
      </w:r>
      <w:r w:rsidRPr="00063FDC">
        <w:rPr>
          <w:color w:val="000000" w:themeColor="text1"/>
          <w:sz w:val="24"/>
          <w:szCs w:val="24"/>
        </w:rPr>
        <w:t xml:space="preserve"> – риск возникновения убытка вследствие неисполнения контрагенто</w:t>
      </w:r>
      <w:r w:rsidR="000B1F74" w:rsidRPr="00063FDC">
        <w:rPr>
          <w:color w:val="000000" w:themeColor="text1"/>
          <w:sz w:val="24"/>
          <w:szCs w:val="24"/>
        </w:rPr>
        <w:t>м</w:t>
      </w:r>
      <w:r w:rsidRPr="00063FDC">
        <w:rPr>
          <w:color w:val="000000" w:themeColor="text1"/>
          <w:sz w:val="24"/>
          <w:szCs w:val="24"/>
        </w:rPr>
        <w:t xml:space="preserve"> обязательств по </w:t>
      </w:r>
      <w:r w:rsidRPr="00063FDC">
        <w:rPr>
          <w:bCs/>
          <w:iCs/>
          <w:color w:val="000000" w:themeColor="text1"/>
          <w:sz w:val="24"/>
          <w:szCs w:val="24"/>
        </w:rPr>
        <w:t>договору</w:t>
      </w:r>
      <w:r w:rsidRPr="00063FDC">
        <w:rPr>
          <w:color w:val="000000" w:themeColor="text1"/>
          <w:sz w:val="24"/>
          <w:szCs w:val="24"/>
        </w:rPr>
        <w:t xml:space="preserve">, а также неоплаты контрагентом основного долга и/или процентов, </w:t>
      </w:r>
    </w:p>
    <w:p w14:paraId="1E7295CE" w14:textId="77777777" w:rsidR="00C9798E" w:rsidRPr="00063FDC" w:rsidRDefault="00421397" w:rsidP="00C9798E">
      <w:pPr>
        <w:autoSpaceDN w:val="0"/>
        <w:spacing w:line="360" w:lineRule="auto"/>
        <w:ind w:left="-567" w:firstLine="567"/>
        <w:jc w:val="both"/>
        <w:rPr>
          <w:color w:val="000000" w:themeColor="text1"/>
          <w:sz w:val="24"/>
          <w:szCs w:val="24"/>
        </w:rPr>
      </w:pPr>
      <w:r w:rsidRPr="00063FDC">
        <w:rPr>
          <w:color w:val="000000" w:themeColor="text1"/>
          <w:sz w:val="24"/>
          <w:szCs w:val="24"/>
        </w:rPr>
        <w:t>причитающихся в установленный договором срок.</w:t>
      </w:r>
    </w:p>
    <w:p w14:paraId="2CE9B5C9" w14:textId="77777777" w:rsidR="00C9798E" w:rsidRPr="00063FDC" w:rsidRDefault="00421397" w:rsidP="00C9798E">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мнение независимого рейтингового агентства о способности</w:t>
      </w:r>
      <w:r w:rsidR="00825E6A" w:rsidRPr="00063FDC">
        <w:rPr>
          <w:color w:val="000000" w:themeColor="text1"/>
          <w:sz w:val="24"/>
          <w:szCs w:val="24"/>
        </w:rPr>
        <w:t xml:space="preserve"> </w:t>
      </w:r>
      <w:r w:rsidRPr="00063FDC">
        <w:rPr>
          <w:color w:val="000000" w:themeColor="text1"/>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063FDC">
        <w:rPr>
          <w:color w:val="000000" w:themeColor="text1"/>
          <w:sz w:val="24"/>
          <w:szCs w:val="24"/>
        </w:rPr>
        <w:t>.</w:t>
      </w:r>
    </w:p>
    <w:p w14:paraId="1CEFB178" w14:textId="77777777" w:rsidR="009D77B3" w:rsidRPr="00063FDC" w:rsidRDefault="00611B2A" w:rsidP="009D77B3">
      <w:pPr>
        <w:autoSpaceDN w:val="0"/>
        <w:spacing w:before="120" w:after="120" w:line="360" w:lineRule="auto"/>
        <w:ind w:firstLine="708"/>
        <w:jc w:val="both"/>
        <w:rPr>
          <w:color w:val="000000" w:themeColor="text1"/>
          <w:sz w:val="24"/>
          <w:szCs w:val="24"/>
        </w:rPr>
      </w:pPr>
      <w:r w:rsidRPr="00063FDC">
        <w:rPr>
          <w:b/>
          <w:bCs/>
          <w:iCs/>
          <w:color w:val="000000" w:themeColor="text1"/>
          <w:sz w:val="24"/>
          <w:szCs w:val="24"/>
        </w:rPr>
        <w:t>Операционная дебиторская задолженность</w:t>
      </w:r>
      <w:r w:rsidR="004C73C3" w:rsidRPr="00063FDC">
        <w:rPr>
          <w:b/>
          <w:bCs/>
          <w:iCs/>
          <w:color w:val="000000" w:themeColor="text1"/>
          <w:sz w:val="24"/>
          <w:szCs w:val="24"/>
        </w:rPr>
        <w:t xml:space="preserve"> – </w:t>
      </w:r>
      <w:r w:rsidR="009D77B3" w:rsidRPr="00063FDC">
        <w:rPr>
          <w:color w:val="000000" w:themeColor="text1"/>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60005A24"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 xml:space="preserve">Дебиторская задолженность, по которой выявлен один или несколько признаков обесценения, указанных в Приложении № </w:t>
      </w:r>
      <w:r w:rsidR="00F05C35" w:rsidRPr="00063FDC">
        <w:rPr>
          <w:color w:val="000000" w:themeColor="text1"/>
          <w:sz w:val="24"/>
          <w:szCs w:val="24"/>
        </w:rPr>
        <w:t>10</w:t>
      </w:r>
      <w:r w:rsidRPr="00063FDC">
        <w:rPr>
          <w:color w:val="000000" w:themeColor="text1"/>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063FDC" w:rsidRDefault="00A81B8E" w:rsidP="00825E6A">
      <w:pPr>
        <w:autoSpaceDN w:val="0"/>
        <w:adjustRightInd w:val="0"/>
        <w:spacing w:line="360" w:lineRule="auto"/>
        <w:jc w:val="both"/>
        <w:rPr>
          <w:b/>
          <w:bCs/>
          <w:iCs/>
          <w:color w:val="000000" w:themeColor="text1"/>
          <w:sz w:val="24"/>
          <w:szCs w:val="24"/>
        </w:rPr>
      </w:pPr>
    </w:p>
    <w:p w14:paraId="3CFAE292" w14:textId="77777777" w:rsidR="00070424" w:rsidRPr="00063FDC" w:rsidRDefault="00070424">
      <w:pPr>
        <w:suppressAutoHyphens w:val="0"/>
        <w:autoSpaceDE/>
        <w:spacing w:after="160" w:line="259" w:lineRule="auto"/>
        <w:rPr>
          <w:b/>
          <w:bCs/>
          <w:iCs/>
          <w:color w:val="000000" w:themeColor="text1"/>
          <w:sz w:val="24"/>
          <w:szCs w:val="24"/>
        </w:rPr>
      </w:pPr>
      <w:r w:rsidRPr="00063FDC">
        <w:rPr>
          <w:b/>
          <w:bCs/>
          <w:iCs/>
          <w:color w:val="000000" w:themeColor="text1"/>
          <w:sz w:val="24"/>
          <w:szCs w:val="24"/>
        </w:rPr>
        <w:br w:type="page"/>
      </w:r>
    </w:p>
    <w:p w14:paraId="408B6988" w14:textId="199324E3" w:rsidR="009B35EE" w:rsidRPr="00063FDC" w:rsidRDefault="00C435AC" w:rsidP="001D1F4C">
      <w:pPr>
        <w:autoSpaceDN w:val="0"/>
        <w:adjustRightInd w:val="0"/>
        <w:spacing w:line="360" w:lineRule="auto"/>
        <w:jc w:val="center"/>
        <w:rPr>
          <w:b/>
          <w:bCs/>
          <w:iCs/>
          <w:caps/>
          <w:color w:val="000000" w:themeColor="text1"/>
          <w:sz w:val="24"/>
          <w:szCs w:val="24"/>
          <w:lang w:eastAsia="ru-RU"/>
        </w:rPr>
      </w:pPr>
      <w:r w:rsidRPr="00063FDC">
        <w:rPr>
          <w:b/>
          <w:bCs/>
          <w:iCs/>
          <w:caps/>
          <w:color w:val="000000" w:themeColor="text1"/>
          <w:sz w:val="24"/>
          <w:szCs w:val="24"/>
          <w:lang w:eastAsia="ru-RU"/>
        </w:rPr>
        <w:t>Общие положения</w:t>
      </w:r>
    </w:p>
    <w:p w14:paraId="3F5C705B" w14:textId="77777777" w:rsidR="00873FDC" w:rsidRPr="00063FDC"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6288FE9C" w:rsidR="005404DA" w:rsidRPr="00063FDC" w:rsidRDefault="005404DA"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Настоящие </w:t>
      </w:r>
      <w:r w:rsidR="006B3B61">
        <w:rPr>
          <w:color w:val="000000" w:themeColor="text1"/>
          <w:sz w:val="24"/>
          <w:szCs w:val="24"/>
          <w:lang w:eastAsia="ru-RU"/>
        </w:rPr>
        <w:t xml:space="preserve">изменения и дополнения в </w:t>
      </w:r>
      <w:r w:rsidRPr="00063FDC">
        <w:rPr>
          <w:color w:val="000000" w:themeColor="text1"/>
          <w:sz w:val="24"/>
          <w:szCs w:val="24"/>
          <w:lang w:eastAsia="ru-RU"/>
        </w:rPr>
        <w:t xml:space="preserve">Правила определения стоимости чистых активов (далее – Правила определения СЧА) </w:t>
      </w:r>
      <w:r w:rsidR="00AF784E" w:rsidRPr="00063FDC">
        <w:rPr>
          <w:color w:val="000000" w:themeColor="text1"/>
          <w:sz w:val="24"/>
          <w:szCs w:val="24"/>
          <w:lang w:eastAsia="ru-RU"/>
        </w:rPr>
        <w:t>Закрытого паевого инвестиционного фонда недвижимости «Нева Хаус»</w:t>
      </w:r>
      <w:r w:rsidRPr="00063FDC">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063FDC">
          <w:rPr>
            <w:color w:val="000000" w:themeColor="text1"/>
            <w:sz w:val="24"/>
            <w:szCs w:val="24"/>
            <w:lang w:eastAsia="ru-RU"/>
          </w:rPr>
          <w:t>законом</w:t>
        </w:r>
      </w:hyperlink>
      <w:r w:rsidRPr="00063FDC">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45414275" w:rsidR="00C435AC" w:rsidRPr="00063FDC" w:rsidRDefault="00421397"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Настоящие </w:t>
      </w:r>
      <w:r w:rsidR="006B3B61">
        <w:rPr>
          <w:color w:val="000000" w:themeColor="text1"/>
          <w:sz w:val="24"/>
          <w:szCs w:val="24"/>
          <w:lang w:eastAsia="ru-RU"/>
        </w:rPr>
        <w:t xml:space="preserve">изменения и дополнения в </w:t>
      </w:r>
      <w:r w:rsidRPr="00063FDC">
        <w:rPr>
          <w:color w:val="000000" w:themeColor="text1"/>
          <w:sz w:val="24"/>
          <w:szCs w:val="24"/>
          <w:lang w:eastAsia="ru-RU"/>
        </w:rPr>
        <w:t xml:space="preserve">Правила </w:t>
      </w:r>
      <w:r w:rsidR="00C9798E" w:rsidRPr="00063FDC">
        <w:rPr>
          <w:color w:val="000000" w:themeColor="text1"/>
          <w:sz w:val="24"/>
          <w:szCs w:val="24"/>
          <w:lang w:eastAsia="ru-RU"/>
        </w:rPr>
        <w:t xml:space="preserve">определения СЧА применяются с </w:t>
      </w:r>
      <w:r w:rsidR="000A18B8" w:rsidRPr="00063FDC">
        <w:rPr>
          <w:color w:val="000000" w:themeColor="text1"/>
          <w:sz w:val="24"/>
          <w:szCs w:val="24"/>
          <w:lang w:eastAsia="ru-RU"/>
        </w:rPr>
        <w:t>0</w:t>
      </w:r>
      <w:r w:rsidR="006B3B61">
        <w:rPr>
          <w:color w:val="000000" w:themeColor="text1"/>
          <w:sz w:val="24"/>
          <w:szCs w:val="24"/>
          <w:lang w:eastAsia="ru-RU"/>
        </w:rPr>
        <w:t>5</w:t>
      </w:r>
      <w:r w:rsidR="004040F1" w:rsidRPr="00063FDC">
        <w:rPr>
          <w:color w:val="000000" w:themeColor="text1"/>
          <w:sz w:val="24"/>
          <w:szCs w:val="24"/>
          <w:lang w:eastAsia="ru-RU"/>
        </w:rPr>
        <w:t xml:space="preserve"> </w:t>
      </w:r>
      <w:r w:rsidR="006B3B61">
        <w:rPr>
          <w:color w:val="000000" w:themeColor="text1"/>
          <w:sz w:val="24"/>
          <w:szCs w:val="24"/>
          <w:lang w:eastAsia="ru-RU"/>
        </w:rPr>
        <w:t>апреля</w:t>
      </w:r>
      <w:r w:rsidR="004040F1" w:rsidRPr="00063FDC">
        <w:rPr>
          <w:color w:val="000000" w:themeColor="text1"/>
          <w:sz w:val="24"/>
          <w:szCs w:val="24"/>
          <w:lang w:eastAsia="ru-RU"/>
        </w:rPr>
        <w:t xml:space="preserve"> </w:t>
      </w:r>
      <w:r w:rsidR="00236816" w:rsidRPr="00063FDC">
        <w:rPr>
          <w:color w:val="000000" w:themeColor="text1"/>
          <w:sz w:val="24"/>
          <w:szCs w:val="24"/>
          <w:lang w:eastAsia="ru-RU"/>
        </w:rPr>
        <w:t>202</w:t>
      </w:r>
      <w:r w:rsidR="000A18B8" w:rsidRPr="00063FDC">
        <w:rPr>
          <w:color w:val="000000" w:themeColor="text1"/>
          <w:sz w:val="24"/>
          <w:szCs w:val="24"/>
          <w:lang w:eastAsia="ru-RU"/>
        </w:rPr>
        <w:t>2</w:t>
      </w:r>
      <w:r w:rsidR="00AF784E" w:rsidRPr="00063FDC">
        <w:rPr>
          <w:color w:val="000000" w:themeColor="text1"/>
          <w:sz w:val="24"/>
          <w:szCs w:val="24"/>
          <w:lang w:eastAsia="ru-RU"/>
        </w:rPr>
        <w:t>г</w:t>
      </w:r>
      <w:r w:rsidRPr="00063FDC">
        <w:rPr>
          <w:color w:val="000000" w:themeColor="text1"/>
          <w:sz w:val="24"/>
          <w:szCs w:val="24"/>
          <w:lang w:eastAsia="ru-RU"/>
        </w:rPr>
        <w:t>.</w:t>
      </w:r>
    </w:p>
    <w:p w14:paraId="4B30B06D"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063FDC" w:rsidRDefault="004040F1"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063FDC" w:rsidRDefault="00F52F7E"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список организаторов торговли;</w:t>
      </w:r>
    </w:p>
    <w:p w14:paraId="0BE83198"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изменения инвестиционной декларации Фонда;</w:t>
      </w:r>
    </w:p>
    <w:p w14:paraId="65C35C5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приобретения в состав имущества Фонда нового вида активов;</w:t>
      </w:r>
    </w:p>
    <w:p w14:paraId="12BBA5A5"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необходимости применения более достоверных методов оценки.</w:t>
      </w:r>
    </w:p>
    <w:p w14:paraId="43CE6B74"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063FDC"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ПОРЯДОК ОПРЕДЕЛЕНИЯ СЧА И СРЕДНЕГОДОВОЙ СЧА</w:t>
      </w:r>
      <w:r w:rsidR="00542437" w:rsidRPr="00063FDC">
        <w:rPr>
          <w:b/>
          <w:color w:val="000000" w:themeColor="text1"/>
          <w:sz w:val="24"/>
          <w:szCs w:val="24"/>
          <w:lang w:eastAsia="ru-RU"/>
        </w:rPr>
        <w:t>.</w:t>
      </w:r>
    </w:p>
    <w:p w14:paraId="6B078419" w14:textId="77777777" w:rsidR="009B35EE" w:rsidRPr="00063FDC"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рассчитывается по состоянию на 2</w:t>
      </w:r>
      <w:r w:rsidR="0006422B" w:rsidRPr="00063FDC">
        <w:rPr>
          <w:color w:val="000000" w:themeColor="text1"/>
          <w:sz w:val="24"/>
          <w:szCs w:val="24"/>
          <w:lang w:eastAsia="ru-RU"/>
        </w:rPr>
        <w:t>4</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w:t>
      </w:r>
      <w:r w:rsidR="00517E2B" w:rsidRPr="00063FDC">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определяется: </w:t>
      </w:r>
    </w:p>
    <w:p w14:paraId="25ACFBBC"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063FDC">
        <w:rPr>
          <w:color w:val="000000" w:themeColor="text1"/>
          <w:sz w:val="24"/>
          <w:szCs w:val="24"/>
          <w:lang w:eastAsia="ru-RU"/>
        </w:rPr>
        <w:t xml:space="preserve"> специализированный депозитарий;</w:t>
      </w:r>
      <w:r w:rsidR="00421397" w:rsidRPr="00063FDC">
        <w:rPr>
          <w:color w:val="000000" w:themeColor="text1"/>
          <w:sz w:val="24"/>
          <w:szCs w:val="24"/>
          <w:lang w:eastAsia="ru-RU"/>
        </w:rPr>
        <w:t xml:space="preserve">   </w:t>
      </w:r>
    </w:p>
    <w:p w14:paraId="5E0A4B65" w14:textId="0C754B09" w:rsidR="00AF784E" w:rsidRPr="00063FDC" w:rsidRDefault="00A24024" w:rsidP="00AF784E">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AF784E" w:rsidRPr="00063FDC">
        <w:rPr>
          <w:color w:val="000000" w:themeColor="text1"/>
          <w:sz w:val="24"/>
          <w:szCs w:val="24"/>
          <w:lang w:eastAsia="ru-RU"/>
        </w:rPr>
        <w:t>после завершения (окончания) формирования стоимость чистых активов Фонда определяется:</w:t>
      </w:r>
    </w:p>
    <w:p w14:paraId="4BFB5CE0" w14:textId="24A20E6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0526C888" w14:textId="709F507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3BE7C400" w14:textId="5F7A9F9B"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дополнительных инвестиционных паев;</w:t>
      </w:r>
    </w:p>
    <w:p w14:paraId="191FF616" w14:textId="3BFABFE3" w:rsidR="004040F1" w:rsidRPr="00063FDC" w:rsidRDefault="00AF784E" w:rsidP="00190E33">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7A305C31"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 xml:space="preserve">Среднегодовая СЧА </w:t>
      </w:r>
      <w:r w:rsidRPr="00063FDC">
        <w:rPr>
          <w:color w:val="000000" w:themeColor="text1"/>
          <w:sz w:val="24"/>
          <w:szCs w:val="24"/>
          <w:lang w:eastAsia="ru-RU"/>
        </w:rPr>
        <w:t>(далее - СГСЧА) на любой день определяется в порядке:</w:t>
      </w:r>
    </w:p>
    <w:p w14:paraId="2C4DB877"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в том числе </w:t>
      </w:r>
      <w:r w:rsidR="00FC5FCC" w:rsidRPr="00063FDC">
        <w:rPr>
          <w:color w:val="000000" w:themeColor="text1"/>
          <w:sz w:val="24"/>
          <w:szCs w:val="24"/>
          <w:lang w:eastAsia="ru-RU"/>
        </w:rPr>
        <w:t>СГ</w:t>
      </w:r>
      <w:r w:rsidRPr="00063FDC">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063FDC">
        <w:rPr>
          <w:color w:val="000000" w:themeColor="text1"/>
          <w:sz w:val="24"/>
          <w:szCs w:val="24"/>
          <w:lang w:eastAsia="ru-RU"/>
        </w:rPr>
        <w:t>действующими</w:t>
      </w:r>
      <w:r w:rsidRPr="00063FDC">
        <w:rPr>
          <w:color w:val="000000" w:themeColor="text1"/>
          <w:sz w:val="24"/>
          <w:szCs w:val="24"/>
          <w:lang w:eastAsia="ru-RU"/>
        </w:rPr>
        <w:t xml:space="preserve"> на территории Российской Федерации.</w:t>
      </w:r>
    </w:p>
    <w:p w14:paraId="7E52F2DC"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4F3BE951" w14:textId="77777777" w:rsidR="0079120B" w:rsidRPr="00063FDC"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МЕТОДЫ ОПРЕДЕЛЕНИЯ СТОИМОСТИ АКТИВОВ И ОБЯЗАТЕЛЬСТВ</w:t>
      </w:r>
    </w:p>
    <w:p w14:paraId="72154D5F"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063FDC">
        <w:rPr>
          <w:color w:val="000000" w:themeColor="text1"/>
          <w:sz w:val="24"/>
          <w:szCs w:val="24"/>
          <w:lang w:eastAsia="ru-RU"/>
        </w:rPr>
        <w:t>,</w:t>
      </w:r>
      <w:r w:rsidRPr="00063FDC">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699BC249"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063FDC">
        <w:rPr>
          <w:color w:val="000000" w:themeColor="text1"/>
          <w:sz w:val="24"/>
          <w:szCs w:val="24"/>
          <w:lang w:eastAsia="ru-RU"/>
        </w:rPr>
        <w:t xml:space="preserve"> </w:t>
      </w:r>
      <w:r w:rsidR="00157CED" w:rsidRPr="00063FDC">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F05C35" w:rsidRPr="00063FDC">
        <w:rPr>
          <w:color w:val="000000" w:themeColor="text1"/>
          <w:sz w:val="24"/>
          <w:szCs w:val="24"/>
          <w:lang w:eastAsia="ru-RU"/>
        </w:rPr>
        <w:t>1</w:t>
      </w:r>
      <w:r w:rsidR="00157CED" w:rsidRPr="00063FDC">
        <w:rPr>
          <w:color w:val="000000" w:themeColor="text1"/>
          <w:sz w:val="24"/>
          <w:szCs w:val="24"/>
          <w:lang w:eastAsia="ru-RU"/>
        </w:rPr>
        <w:t>.</w:t>
      </w:r>
    </w:p>
    <w:p w14:paraId="697AD8FE" w14:textId="77777777" w:rsidR="009E5219" w:rsidRPr="00063FDC" w:rsidRDefault="0079567B" w:rsidP="00260C3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w:t>
      </w:r>
      <w:r w:rsidR="0048091B" w:rsidRPr="00063FDC">
        <w:rPr>
          <w:color w:val="000000" w:themeColor="text1"/>
          <w:sz w:val="24"/>
          <w:szCs w:val="24"/>
          <w:lang w:eastAsia="ru-RU"/>
        </w:rPr>
        <w:t xml:space="preserve"> и</w:t>
      </w:r>
      <w:r w:rsidRPr="00063FDC">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063FDC">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063FDC">
        <w:rPr>
          <w:color w:val="000000" w:themeColor="text1"/>
          <w:sz w:val="24"/>
          <w:szCs w:val="24"/>
          <w:lang w:eastAsia="ru-RU"/>
        </w:rPr>
        <w:t xml:space="preserve"> </w:t>
      </w:r>
    </w:p>
    <w:p w14:paraId="28E38302"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Методик</w:t>
      </w:r>
      <w:r w:rsidR="00B468A1" w:rsidRPr="00063FDC">
        <w:rPr>
          <w:color w:val="000000" w:themeColor="text1"/>
          <w:sz w:val="24"/>
          <w:szCs w:val="24"/>
          <w:lang w:eastAsia="ru-RU"/>
        </w:rPr>
        <w:t>и</w:t>
      </w:r>
      <w:r w:rsidRPr="00063FDC">
        <w:rPr>
          <w:color w:val="000000" w:themeColor="text1"/>
          <w:sz w:val="24"/>
          <w:szCs w:val="24"/>
          <w:lang w:eastAsia="ru-RU"/>
        </w:rPr>
        <w:t xml:space="preserve"> определения справедливой стоимости активов (обязательств)</w:t>
      </w:r>
      <w:r w:rsidR="00B468A1" w:rsidRPr="00063FDC">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063FDC">
        <w:rPr>
          <w:color w:val="000000" w:themeColor="text1"/>
          <w:sz w:val="24"/>
          <w:szCs w:val="24"/>
          <w:lang w:eastAsia="ru-RU"/>
        </w:rPr>
        <w:t>СЧА, представлены</w:t>
      </w:r>
      <w:r w:rsidRPr="00063FDC">
        <w:rPr>
          <w:color w:val="000000" w:themeColor="text1"/>
          <w:sz w:val="24"/>
          <w:szCs w:val="24"/>
          <w:lang w:eastAsia="ru-RU"/>
        </w:rPr>
        <w:t xml:space="preserve"> в Приложени</w:t>
      </w:r>
      <w:r w:rsidR="00B468A1"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3B25AB6F" w14:textId="398DF950" w:rsidR="00BF7304" w:rsidRPr="00063FDC" w:rsidRDefault="00BF7304" w:rsidP="00BF7304">
      <w:pPr>
        <w:suppressAutoHyphens w:val="0"/>
        <w:autoSpaceDE/>
        <w:spacing w:after="160" w:line="259" w:lineRule="auto"/>
        <w:rPr>
          <w:color w:val="000000" w:themeColor="text1"/>
          <w:sz w:val="24"/>
          <w:szCs w:val="24"/>
          <w:lang w:eastAsia="ru-RU"/>
        </w:rPr>
      </w:pPr>
    </w:p>
    <w:p w14:paraId="57CACB19" w14:textId="5457507D" w:rsidR="00AF784E" w:rsidRPr="00063FDC" w:rsidRDefault="00AF784E" w:rsidP="00AF784E">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 xml:space="preserve">               Порядок конвертации стоимостей, выраженных в одной валюте, в другую валюту.</w:t>
      </w:r>
    </w:p>
    <w:p w14:paraId="19DE6B2E"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04C2892C"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36151F1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Кросс курс = CUR/USD * USD/RUR,</w:t>
      </w:r>
    </w:p>
    <w:p w14:paraId="6355D75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где:</w:t>
      </w:r>
    </w:p>
    <w:p w14:paraId="6F324033"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USD/RUR – биржевой курс доллара США, на дату расчета СЧА;</w:t>
      </w:r>
    </w:p>
    <w:p w14:paraId="75D5D571"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16A2392C" w14:textId="1FC79CE4" w:rsidR="00AF784E" w:rsidRPr="00063FDC" w:rsidRDefault="00AF784E" w:rsidP="00AF784E">
      <w:pPr>
        <w:autoSpaceDN w:val="0"/>
        <w:adjustRightInd w:val="0"/>
        <w:spacing w:line="360" w:lineRule="auto"/>
        <w:ind w:firstLine="709"/>
        <w:jc w:val="both"/>
        <w:rPr>
          <w:color w:val="000000" w:themeColor="text1"/>
          <w:sz w:val="24"/>
          <w:szCs w:val="24"/>
          <w:lang w:eastAsia="ru-RU"/>
        </w:rPr>
      </w:pPr>
    </w:p>
    <w:p w14:paraId="47DAA62D" w14:textId="77777777" w:rsidR="00AF784E" w:rsidRPr="00063FDC" w:rsidRDefault="00AF784E" w:rsidP="00BF7304">
      <w:pPr>
        <w:suppressAutoHyphens w:val="0"/>
        <w:autoSpaceDE/>
        <w:spacing w:after="160" w:line="259" w:lineRule="auto"/>
        <w:rPr>
          <w:color w:val="000000" w:themeColor="text1"/>
          <w:sz w:val="24"/>
          <w:szCs w:val="24"/>
          <w:lang w:eastAsia="ru-RU"/>
        </w:rPr>
      </w:pPr>
    </w:p>
    <w:p w14:paraId="2F2E94A5" w14:textId="77777777" w:rsidR="00E215F3" w:rsidRPr="00063FDC" w:rsidRDefault="00421397" w:rsidP="00BF7304">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063FDC">
        <w:rPr>
          <w:b/>
          <w:color w:val="000000" w:themeColor="text1"/>
          <w:sz w:val="24"/>
          <w:szCs w:val="24"/>
          <w:lang w:eastAsia="ru-RU"/>
        </w:rPr>
        <w:t>.</w:t>
      </w:r>
    </w:p>
    <w:p w14:paraId="2909572F" w14:textId="77777777" w:rsidR="0051529B" w:rsidRPr="00063FDC"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063FDC" w:rsidRDefault="00FA4BF8" w:rsidP="00A71CBA">
      <w:pPr>
        <w:pStyle w:val="12"/>
        <w:tabs>
          <w:tab w:val="left" w:pos="709"/>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063FDC">
        <w:rPr>
          <w:rFonts w:eastAsia="Batang"/>
          <w:color w:val="000000" w:themeColor="text1"/>
          <w:szCs w:val="24"/>
        </w:rPr>
        <w:t>, оценщику Фонда</w:t>
      </w:r>
      <w:r w:rsidR="00ED498D" w:rsidRPr="00063FDC">
        <w:rPr>
          <w:rFonts w:eastAsia="Batang"/>
          <w:color w:val="000000" w:themeColor="text1"/>
          <w:szCs w:val="24"/>
        </w:rPr>
        <w:t xml:space="preserve"> </w:t>
      </w:r>
      <w:r w:rsidRPr="00063FDC">
        <w:rPr>
          <w:rFonts w:eastAsia="Batang"/>
          <w:color w:val="000000" w:themeColor="text1"/>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063FDC" w:rsidRDefault="00FA4BF8" w:rsidP="00A71CBA">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даты окончания календарного года; </w:t>
      </w:r>
    </w:p>
    <w:p w14:paraId="4B3FB607"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063FDC" w:rsidRDefault="00FA4BF8" w:rsidP="001D1F4C">
      <w:pPr>
        <w:pStyle w:val="12"/>
        <w:tabs>
          <w:tab w:val="left" w:pos="993"/>
        </w:tabs>
        <w:spacing w:line="360" w:lineRule="auto"/>
        <w:ind w:left="0" w:firstLine="709"/>
        <w:jc w:val="both"/>
        <w:rPr>
          <w:iCs/>
          <w:color w:val="000000" w:themeColor="text1"/>
          <w:szCs w:val="24"/>
          <w:shd w:val="clear" w:color="auto" w:fill="FFFFFF"/>
        </w:rPr>
      </w:pPr>
      <w:r w:rsidRPr="00063FDC">
        <w:rPr>
          <w:iCs/>
          <w:color w:val="000000" w:themeColor="text1"/>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063FDC" w:rsidRDefault="00FA4BF8" w:rsidP="001D1F4C">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i/>
          <w:color w:val="000000" w:themeColor="text1"/>
          <w:szCs w:val="24"/>
        </w:rPr>
        <w:t>на первый рабочий день отчетного года</w:t>
      </w:r>
      <w:r w:rsidRPr="00063FDC">
        <w:rPr>
          <w:rFonts w:eastAsia="Batang"/>
          <w:color w:val="000000" w:themeColor="text1"/>
          <w:szCs w:val="24"/>
        </w:rPr>
        <w:t>:</w:t>
      </w:r>
    </w:p>
    <w:p w14:paraId="48868D87"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2.4pt" o:ole="">
            <v:imagedata r:id="rId12" o:title=""/>
          </v:shape>
          <o:OLEObject Type="Embed" ProgID="Equation.3" ShapeID="_x0000_i1025" DrawAspect="Content" ObjectID="_1709999202" r:id="rId13"/>
        </w:object>
      </w:r>
    </w:p>
    <w:p w14:paraId="6CF05BD1"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где:    </w:t>
      </w:r>
    </w:p>
    <w:p w14:paraId="5BFF50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360" w14:anchorId="421F823F">
          <v:shape id="_x0000_i1026" type="#_x0000_t75" style="width:9pt;height:16.8pt" o:ole="">
            <v:imagedata r:id="rId14" o:title=""/>
          </v:shape>
          <o:OLEObject Type="Embed" ProgID="Equation.3" ShapeID="_x0000_i1026" DrawAspect="Content" ObjectID="_1709999203" r:id="rId15"/>
        </w:object>
      </w:r>
      <w:r w:rsidRPr="00063FDC">
        <w:rPr>
          <w:rFonts w:eastAsia="Batang"/>
          <w:color w:val="000000" w:themeColor="text1"/>
          <w:szCs w:val="24"/>
        </w:rPr>
        <w:t>- сумма начисления резерва на первый рабочий день отчетного года;</w:t>
      </w:r>
    </w:p>
    <w:p w14:paraId="6CC87CFB"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260" w14:anchorId="4DD481BA">
          <v:shape id="_x0000_i1027" type="#_x0000_t75" style="width:13.2pt;height:13.2pt" o:ole="">
            <v:imagedata r:id="rId16" o:title=""/>
          </v:shape>
          <o:OLEObject Type="Embed" ProgID="Equation.3" ShapeID="_x0000_i1027" DrawAspect="Content" ObjectID="_1709999204" r:id="rId17"/>
        </w:object>
      </w:r>
      <w:r w:rsidRPr="00063FDC">
        <w:rPr>
          <w:rFonts w:eastAsia="Batang"/>
          <w:color w:val="000000" w:themeColor="text1"/>
          <w:szCs w:val="24"/>
        </w:rPr>
        <w:t xml:space="preserve"> - количество рабочих дней в текущем календарном году;</w:t>
      </w:r>
    </w:p>
    <w:p w14:paraId="626F96B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840" w:dyaOrig="360" w14:anchorId="6C81AA6A">
          <v:shape id="_x0000_i1028" type="#_x0000_t75" style="width:43.8pt;height:18pt" o:ole="">
            <v:imagedata r:id="rId18" o:title=""/>
          </v:shape>
          <o:OLEObject Type="Embed" ProgID="Equation.3" ShapeID="_x0000_i1028" DrawAspect="Content" ObjectID="_1709999205" r:id="rId19"/>
        </w:object>
      </w:r>
      <w:r w:rsidRPr="00063FDC">
        <w:rPr>
          <w:rFonts w:eastAsia="Batang"/>
          <w:color w:val="000000" w:themeColor="text1"/>
          <w:szCs w:val="24"/>
        </w:rPr>
        <w:t xml:space="preserve">- расчетная (промежуточная) величина СЧА на первый рабочий день отчетного года, в который начисляется резерв </w:t>
      </w:r>
      <w:r w:rsidRPr="00063FDC">
        <w:rPr>
          <w:rFonts w:eastAsia="Batang"/>
          <w:color w:val="000000" w:themeColor="text1"/>
          <w:szCs w:val="24"/>
        </w:rPr>
        <w:object w:dxaOrig="260" w:dyaOrig="360" w14:anchorId="45738949">
          <v:shape id="_x0000_i1029" type="#_x0000_t75" style="width:13.2pt;height:18.6pt" o:ole="">
            <v:imagedata r:id="rId20" o:title=""/>
          </v:shape>
          <o:OLEObject Type="Embed" ProgID="Equation.3" ShapeID="_x0000_i1029" DrawAspect="Content" ObjectID="_1709999206" r:id="rId21"/>
        </w:object>
      </w:r>
      <w:r w:rsidRPr="00063FDC">
        <w:rPr>
          <w:rFonts w:eastAsia="Batang"/>
          <w:color w:val="000000" w:themeColor="text1"/>
          <w:szCs w:val="24"/>
        </w:rPr>
        <w:t>, определенная с точностью до 2 – х знаков после запятой по формуле:</w:t>
      </w:r>
    </w:p>
    <w:p w14:paraId="6DF64CFC"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2700" w:dyaOrig="960" w14:anchorId="7C669B32">
          <v:shape id="_x0000_i1030" type="#_x0000_t75" style="width:133.8pt;height:48pt" o:ole="">
            <v:imagedata r:id="rId22" o:title=""/>
          </v:shape>
          <o:OLEObject Type="Embed" ProgID="Equation.3" ShapeID="_x0000_i1030" DrawAspect="Content" ObjectID="_1709999207" r:id="rId23"/>
        </w:object>
      </w:r>
    </w:p>
    <w:p w14:paraId="1CF4639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960" w:dyaOrig="340" w14:anchorId="075CB9AA">
          <v:shape id="_x0000_i1031" type="#_x0000_t75" style="width:48pt;height:18pt" o:ole="">
            <v:imagedata r:id="rId24" o:title=""/>
          </v:shape>
          <o:OLEObject Type="Embed" ProgID="Equation.3" ShapeID="_x0000_i1031" DrawAspect="Content" ObjectID="_1709999208" r:id="rId25"/>
        </w:object>
      </w:r>
      <w:r w:rsidRPr="00063FDC">
        <w:rPr>
          <w:rFonts w:eastAsia="Batang"/>
          <w:color w:val="000000" w:themeColor="text1"/>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40" w14:anchorId="0B4B62D6">
          <v:shape id="_x0000_i1032" type="#_x0000_t75" style="width:24pt;height:18pt" o:ole="">
            <v:imagedata r:id="rId26" o:title=""/>
          </v:shape>
          <o:OLEObject Type="Embed" ProgID="Equation.3" ShapeID="_x0000_i1032" DrawAspect="Content" ObjectID="_1709999209" r:id="rId27"/>
        </w:object>
      </w:r>
      <w:r w:rsidRPr="00063FDC">
        <w:rPr>
          <w:rFonts w:eastAsia="Batang"/>
          <w:color w:val="000000" w:themeColor="text1"/>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00" w:dyaOrig="220" w14:anchorId="661B686F">
          <v:shape id="_x0000_i1033" type="#_x0000_t75" style="width:9.6pt;height:9pt" o:ole="">
            <v:imagedata r:id="rId28" o:title=""/>
          </v:shape>
          <o:OLEObject Type="Embed" ProgID="Equation.3" ShapeID="_x0000_i1033" DrawAspect="Content" ObjectID="_1709999210" r:id="rId29"/>
        </w:object>
      </w:r>
      <w:r w:rsidRPr="00063FDC">
        <w:rPr>
          <w:rFonts w:eastAsia="Batang"/>
          <w:color w:val="000000" w:themeColor="text1"/>
          <w:szCs w:val="24"/>
        </w:rPr>
        <w:t>- процентная ставка, соответствующая:</w:t>
      </w:r>
    </w:p>
    <w:p w14:paraId="41C1E87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60" w14:anchorId="4482491C">
          <v:shape id="_x0000_i1034" type="#_x0000_t75" style="width:24pt;height:21pt" o:ole="">
            <v:imagedata r:id="rId30" o:title=""/>
          </v:shape>
          <o:OLEObject Type="Embed" ProgID="Equation.3" ShapeID="_x0000_i1034" DrawAspect="Content" ObjectID="_1709999211" r:id="rId31"/>
        </w:object>
      </w:r>
      <w:r w:rsidRPr="00063FDC">
        <w:rPr>
          <w:rFonts w:eastAsia="Batang"/>
          <w:color w:val="000000" w:themeColor="text1"/>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20" w:dyaOrig="380" w14:anchorId="553B8865">
          <v:shape id="_x0000_i1035" type="#_x0000_t75" style="width:24pt;height:24pt" o:ole="">
            <v:imagedata r:id="rId32" o:title=""/>
          </v:shape>
          <o:OLEObject Type="Embed" ProgID="Equation.3" ShapeID="_x0000_i1035" DrawAspect="Content" ObjectID="_1709999212" r:id="rId33"/>
        </w:object>
      </w:r>
      <w:r w:rsidRPr="00063FDC">
        <w:rPr>
          <w:rFonts w:eastAsia="Batang"/>
          <w:color w:val="000000" w:themeColor="text1"/>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rFonts w:eastAsia="Batang"/>
          <w:color w:val="000000" w:themeColor="text1"/>
          <w:szCs w:val="24"/>
        </w:rPr>
        <w:t xml:space="preserve">доверительного управления </w:t>
      </w:r>
      <w:r w:rsidRPr="00063FDC">
        <w:rPr>
          <w:rFonts w:eastAsia="Batang"/>
          <w:color w:val="000000" w:themeColor="text1"/>
          <w:szCs w:val="24"/>
        </w:rPr>
        <w:t>(в долях), действующий на первый рабочий день отчетного года;</w:t>
      </w:r>
    </w:p>
    <w:p w14:paraId="700A9C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79" w:dyaOrig="360" w14:anchorId="67EC60A2">
          <v:shape id="_x0000_i1036" type="#_x0000_t75" style="width:14.4pt;height:18pt" o:ole="">
            <v:imagedata r:id="rId34" o:title=""/>
          </v:shape>
          <o:OLEObject Type="Embed" ProgID="Equation.3" ShapeID="_x0000_i1036" DrawAspect="Content" ObjectID="_1709999213" r:id="rId35"/>
        </w:object>
      </w:r>
      <w:r w:rsidRPr="00063FDC">
        <w:rPr>
          <w:rFonts w:eastAsia="Batang"/>
          <w:color w:val="000000" w:themeColor="text1"/>
          <w:szCs w:val="24"/>
        </w:rPr>
        <w:t>- каждая процентная ставка, действовавшая на первый рабочий день отчетного года</w:t>
      </w:r>
    </w:p>
    <w:p w14:paraId="622B2FAF"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Значение  </w:t>
      </w:r>
      <m:oMath>
        <m:d>
          <m:dPr>
            <m:ctrlPr>
              <w:rPr>
                <w:rFonts w:ascii="Cambria Math" w:eastAsia="Batang" w:hAnsi="Cambria Math"/>
                <w:color w:val="000000" w:themeColor="text1"/>
                <w:szCs w:val="24"/>
              </w:rPr>
            </m:ctrlPr>
          </m:dPr>
          <m:e>
            <m:r>
              <m:rPr>
                <m:sty m:val="p"/>
              </m:rPr>
              <w:rPr>
                <w:rFonts w:ascii="Cambria Math" w:eastAsia="Batang"/>
                <w:color w:val="000000" w:themeColor="text1"/>
                <w:szCs w:val="24"/>
              </w:rPr>
              <m:t>1+</m:t>
            </m:r>
            <m:r>
              <m:rPr>
                <m:sty m:val="p"/>
              </m:rPr>
              <w:rPr>
                <w:rFonts w:ascii="Cambria Math" w:eastAsia="Batang"/>
                <w:color w:val="000000" w:themeColor="text1"/>
                <w:szCs w:val="24"/>
              </w:rPr>
              <w:object w:dxaOrig="1080" w:dyaOrig="660" w14:anchorId="450645DB">
                <v:shape id="_x0000_i1038" type="#_x0000_t75" style="width:54pt;height:32.4pt" o:ole="">
                  <v:imagedata r:id="rId36" o:title=""/>
                </v:shape>
                <o:OLEObject Type="Embed" ProgID="Equation.3" ShapeID="_x0000_i1038" DrawAspect="Content" ObjectID="_1709999214" r:id="rId37"/>
              </w:object>
            </m:r>
          </m:e>
        </m:d>
      </m:oMath>
      <w:r w:rsidRPr="00063FDC">
        <w:rPr>
          <w:rFonts w:eastAsia="Batang"/>
          <w:color w:val="000000" w:themeColor="text1"/>
          <w:szCs w:val="24"/>
        </w:rPr>
        <w:t xml:space="preserve">   не округляется.</w:t>
      </w:r>
    </w:p>
    <w:p w14:paraId="2DD13BB2"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Округление при расчете </w:t>
      </w:r>
      <w:r w:rsidRPr="00063FDC">
        <w:rPr>
          <w:rFonts w:eastAsia="Batang"/>
          <w:color w:val="000000" w:themeColor="text1"/>
          <w:szCs w:val="24"/>
        </w:rPr>
        <w:object w:dxaOrig="260" w:dyaOrig="360" w14:anchorId="37D26157">
          <v:shape id="_x0000_i1039" type="#_x0000_t75" style="width:13.2pt;height:18.6pt" o:ole="">
            <v:imagedata r:id="rId38" o:title=""/>
          </v:shape>
          <o:OLEObject Type="Embed" ProgID="Equation.3" ShapeID="_x0000_i1039" DrawAspect="Content" ObjectID="_1709999215" r:id="rId39"/>
        </w:object>
      </w:r>
      <w:r w:rsidRPr="00063FDC">
        <w:rPr>
          <w:rFonts w:eastAsia="Batang"/>
          <w:color w:val="000000" w:themeColor="text1"/>
          <w:szCs w:val="24"/>
        </w:rPr>
        <w:t xml:space="preserve"> и </w:t>
      </w:r>
      <w:r w:rsidRPr="00063FDC">
        <w:rPr>
          <w:rFonts w:eastAsia="Batang"/>
          <w:color w:val="000000" w:themeColor="text1"/>
          <w:szCs w:val="24"/>
        </w:rPr>
        <w:object w:dxaOrig="840" w:dyaOrig="360" w14:anchorId="1CED27CA">
          <v:shape id="_x0000_i1040" type="#_x0000_t75" style="width:43.8pt;height:18pt" o:ole="">
            <v:imagedata r:id="rId40" o:title=""/>
          </v:shape>
          <o:OLEObject Type="Embed" ProgID="Equation.3" ShapeID="_x0000_i1040" DrawAspect="Content" ObjectID="_1709999216" r:id="rId41"/>
        </w:object>
      </w:r>
      <w:r w:rsidRPr="00063FDC">
        <w:rPr>
          <w:rFonts w:eastAsia="Batang"/>
          <w:color w:val="000000" w:themeColor="text1"/>
          <w:szCs w:val="24"/>
        </w:rPr>
        <w:t>производится на каждом действии до 2-х знаков после запятой.</w:t>
      </w:r>
    </w:p>
    <w:p w14:paraId="4EEBDD73" w14:textId="77777777" w:rsidR="00FA4BF8" w:rsidRPr="00063FDC" w:rsidRDefault="00FA4BF8" w:rsidP="001D1F4C">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на другие дни определения СЧА (за исключением первого рабочего дня отчетного года):</w:t>
      </w:r>
    </w:p>
    <w:p w14:paraId="499B710C" w14:textId="77777777" w:rsidR="0061109D" w:rsidRPr="00063FDC" w:rsidRDefault="0061109D" w:rsidP="001D1F4C">
      <w:pPr>
        <w:autoSpaceDN w:val="0"/>
        <w:adjustRightInd w:val="0"/>
        <w:spacing w:line="360" w:lineRule="auto"/>
        <w:jc w:val="center"/>
        <w:rPr>
          <w:color w:val="000000" w:themeColor="text1"/>
          <w:sz w:val="24"/>
          <w:szCs w:val="24"/>
          <w:lang w:eastAsia="ru-RU"/>
        </w:rPr>
      </w:pPr>
      <w:r w:rsidRPr="00063FDC">
        <w:rPr>
          <w:color w:val="000000" w:themeColor="text1"/>
          <w:sz w:val="24"/>
          <w:szCs w:val="24"/>
          <w:lang w:eastAsia="ru-RU"/>
        </w:rPr>
        <w:object w:dxaOrig="4480" w:dyaOrig="1020" w14:anchorId="511C3A69">
          <v:shape id="_x0000_i1041" type="#_x0000_t75" style="width:222.6pt;height:49.8pt" o:ole="">
            <v:imagedata r:id="rId42" o:title=""/>
          </v:shape>
          <o:OLEObject Type="Embed" ProgID="Equation.3" ShapeID="_x0000_i1041" DrawAspect="Content" ObjectID="_1709999217" r:id="rId43"/>
        </w:object>
      </w:r>
    </w:p>
    <w:p w14:paraId="6B4CC541"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где:</w:t>
      </w:r>
    </w:p>
    <w:p w14:paraId="7B383E07"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42F9B9AB">
          <v:shape id="_x0000_i1042" type="#_x0000_t75" style="width:14.4pt;height:21pt" o:ole="">
            <v:imagedata r:id="rId44" o:title=""/>
          </v:shape>
          <o:OLEObject Type="Embed" ProgID="Equation.3" ShapeID="_x0000_i1042" DrawAspect="Content" ObjectID="_1709999218" r:id="rId45"/>
        </w:object>
      </w:r>
      <w:r w:rsidR="00421397" w:rsidRPr="00063FDC">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0154A1B4">
          <v:shape id="_x0000_i1043" type="#_x0000_t75" style="width:13.2pt;height:21pt" o:ole="">
            <v:imagedata r:id="rId46" o:title=""/>
          </v:shape>
          <o:OLEObject Type="Embed" ProgID="Equation.3" ShapeID="_x0000_i1043" DrawAspect="Content" ObjectID="_1709999219" r:id="rId47"/>
        </w:object>
      </w:r>
      <w:r w:rsidR="00421397" w:rsidRPr="00063FDC">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260" w14:anchorId="26CC1BEE">
          <v:shape id="_x0000_i1044" type="#_x0000_t75" style="width:13.2pt;height:13.2pt" o:ole="">
            <v:imagedata r:id="rId16" o:title=""/>
          </v:shape>
          <o:OLEObject Type="Embed" ProgID="Equation.3" ShapeID="_x0000_i1044" DrawAspect="Content" ObjectID="_1709999220" r:id="rId48"/>
        </w:object>
      </w:r>
      <w:r w:rsidR="00421397" w:rsidRPr="00063FDC">
        <w:rPr>
          <w:color w:val="000000" w:themeColor="text1"/>
          <w:sz w:val="24"/>
          <w:szCs w:val="24"/>
          <w:lang w:eastAsia="ru-RU"/>
        </w:rPr>
        <w:t xml:space="preserve"> - количество рабочих дней в текущем календарном году;</w:t>
      </w:r>
    </w:p>
    <w:p w14:paraId="607905C3"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7F58535F">
          <v:shape id="_x0000_i1045" type="#_x0000_t75" style="width:13.2pt;height:21pt" o:ole="">
            <v:imagedata r:id="rId49" o:title=""/>
          </v:shape>
          <o:OLEObject Type="Embed" ProgID="Equation.3" ShapeID="_x0000_i1045" DrawAspect="Content" ObjectID="_1709999221" r:id="rId50"/>
        </w:object>
      </w:r>
      <w:r w:rsidR="00421397" w:rsidRPr="00063FDC">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063FDC">
        <w:rPr>
          <w:color w:val="000000" w:themeColor="text1"/>
          <w:sz w:val="24"/>
          <w:szCs w:val="24"/>
          <w:lang w:eastAsia="ru-RU"/>
        </w:rPr>
        <w:object w:dxaOrig="260" w:dyaOrig="360" w14:anchorId="7A836E03">
          <v:shape id="_x0000_i1046" type="#_x0000_t75" style="width:13.2pt;height:21pt" o:ole="">
            <v:imagedata r:id="rId46" o:title=""/>
          </v:shape>
          <o:OLEObject Type="Embed" ProgID="Equation.3" ShapeID="_x0000_i1046" DrawAspect="Content" ObjectID="_1709999222" r:id="rId51"/>
        </w:object>
      </w:r>
      <w:r w:rsidR="00421397" w:rsidRPr="00063FDC">
        <w:rPr>
          <w:color w:val="000000" w:themeColor="text1"/>
          <w:sz w:val="24"/>
          <w:szCs w:val="24"/>
          <w:lang w:eastAsia="ru-RU"/>
        </w:rPr>
        <w:t xml:space="preserve">; </w:t>
      </w:r>
    </w:p>
    <w:p w14:paraId="1DDF0506"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 xml:space="preserve">t – порядковый номер рабочего дня, принадлежащего периоду, за который </w:t>
      </w:r>
      <w:r w:rsidR="009214B5" w:rsidRPr="00063FDC">
        <w:rPr>
          <w:color w:val="000000" w:themeColor="text1"/>
          <w:sz w:val="24"/>
          <w:szCs w:val="24"/>
          <w:lang w:eastAsia="ru-RU"/>
        </w:rPr>
        <w:t>определено</w:t>
      </w:r>
      <w:r w:rsidR="00516F0B" w:rsidRPr="00063FDC">
        <w:rPr>
          <w:color w:val="000000" w:themeColor="text1"/>
          <w:sz w:val="24"/>
          <w:szCs w:val="24"/>
          <w:lang w:eastAsia="ru-RU"/>
        </w:rPr>
        <w:object w:dxaOrig="260" w:dyaOrig="360" w14:anchorId="1F20737C">
          <v:shape id="_x0000_i1047" type="#_x0000_t75" style="width:13.2pt;height:21pt" o:ole="">
            <v:imagedata r:id="rId49" o:title=""/>
          </v:shape>
          <o:OLEObject Type="Embed" ProgID="Equation.3" ShapeID="_x0000_i1047" DrawAspect="Content" ObjectID="_1709999223" r:id="rId52"/>
        </w:object>
      </w:r>
      <w:r w:rsidR="009214B5" w:rsidRPr="00063FDC">
        <w:rPr>
          <w:color w:val="000000" w:themeColor="text1"/>
          <w:sz w:val="24"/>
          <w:szCs w:val="24"/>
          <w:lang w:eastAsia="ru-RU"/>
        </w:rPr>
        <w:t>,</w:t>
      </w:r>
      <w:r w:rsidRPr="00063FDC">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063FDC">
        <w:rPr>
          <w:color w:val="000000" w:themeColor="text1"/>
          <w:sz w:val="24"/>
          <w:szCs w:val="24"/>
          <w:lang w:eastAsia="ru-RU"/>
        </w:rPr>
        <w:object w:dxaOrig="260" w:dyaOrig="360" w14:anchorId="3AFB2268">
          <v:shape id="_x0000_i1048" type="#_x0000_t75" style="width:13.2pt;height:21pt" o:ole="">
            <v:imagedata r:id="rId46" o:title=""/>
          </v:shape>
          <o:OLEObject Type="Embed" ProgID="Equation.3" ShapeID="_x0000_i1048" DrawAspect="Content" ObjectID="_1709999224" r:id="rId53"/>
        </w:object>
      </w:r>
      <w:r w:rsidRPr="00063FDC">
        <w:rPr>
          <w:color w:val="000000" w:themeColor="text1"/>
          <w:sz w:val="24"/>
          <w:szCs w:val="24"/>
          <w:lang w:eastAsia="ru-RU"/>
        </w:rPr>
        <w:t>;</w:t>
      </w:r>
    </w:p>
    <w:p w14:paraId="0FD0825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80" w:dyaOrig="360" w14:anchorId="4F63B8C3">
          <v:shape id="_x0000_i1049" type="#_x0000_t75" style="width:28.8pt;height:21pt" o:ole="">
            <v:imagedata r:id="rId54" o:title=""/>
          </v:shape>
          <o:OLEObject Type="Embed" ProgID="Equation.3" ShapeID="_x0000_i1049" DrawAspect="Content" ObjectID="_1709999225" r:id="rId55"/>
        </w:object>
      </w:r>
      <w:r w:rsidR="00421397" w:rsidRPr="00063FDC">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840" w:dyaOrig="380" w14:anchorId="3FB3E788">
          <v:shape id="_x0000_i1050" type="#_x0000_t75" style="width:45pt;height:14.4pt" o:ole="">
            <v:imagedata r:id="rId56" o:title=""/>
          </v:shape>
          <o:OLEObject Type="Embed" ProgID="Equation.3" ShapeID="_x0000_i1050" DrawAspect="Content" ObjectID="_1709999226" r:id="rId57"/>
        </w:object>
      </w:r>
      <w:r w:rsidR="00421397" w:rsidRPr="00063FDC">
        <w:rPr>
          <w:color w:val="000000" w:themeColor="text1"/>
          <w:sz w:val="24"/>
          <w:szCs w:val="24"/>
          <w:lang w:eastAsia="ru-RU"/>
        </w:rPr>
        <w:t xml:space="preserve">- расчетная (промежуточная) величина СЧА на дату d, в которой начисляется резерв </w:t>
      </w:r>
      <w:r w:rsidRPr="00063FDC">
        <w:rPr>
          <w:color w:val="000000" w:themeColor="text1"/>
          <w:sz w:val="24"/>
          <w:szCs w:val="24"/>
          <w:lang w:eastAsia="ru-RU"/>
        </w:rPr>
        <w:object w:dxaOrig="260" w:dyaOrig="360" w14:anchorId="73C62C50">
          <v:shape id="_x0000_i1051" type="#_x0000_t75" style="width:13.2pt;height:21pt" o:ole="">
            <v:imagedata r:id="rId46" o:title=""/>
          </v:shape>
          <o:OLEObject Type="Embed" ProgID="Equation.3" ShapeID="_x0000_i1051" DrawAspect="Content" ObjectID="_1709999227" r:id="rId58"/>
        </w:object>
      </w:r>
      <w:r w:rsidR="00421397" w:rsidRPr="00063FDC">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object w:dxaOrig="7680" w:dyaOrig="2640" w14:anchorId="149EE616">
          <v:shape id="_x0000_i1052" type="#_x0000_t75" style="width:381.6pt;height:130.8pt" o:ole="">
            <v:imagedata r:id="rId59" o:title=""/>
          </v:shape>
          <o:OLEObject Type="Embed" ProgID="Equation.3" ShapeID="_x0000_i1052" DrawAspect="Content" ObjectID="_1709999228" r:id="rId60"/>
        </w:object>
      </w:r>
      <w:r w:rsidR="00421397" w:rsidRPr="00063FDC">
        <w:rPr>
          <w:color w:val="000000" w:themeColor="text1"/>
          <w:sz w:val="24"/>
          <w:szCs w:val="24"/>
          <w:lang w:eastAsia="ru-RU"/>
        </w:rPr>
        <w:t>;</w:t>
      </w:r>
    </w:p>
    <w:p w14:paraId="7BEED274"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09999229" r:id="rId62"/>
        </w:object>
      </w:r>
      <w:r w:rsidR="00421397" w:rsidRPr="00063FDC">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09999230" r:id="rId64"/>
        </w:object>
      </w:r>
      <w:r w:rsidR="00421397" w:rsidRPr="00063FDC">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600" w:dyaOrig="680" w14:anchorId="35076FE9">
          <v:shape id="_x0000_i1055" type="#_x0000_t75" style="width:28.8pt;height:36.6pt" o:ole="">
            <v:imagedata r:id="rId65" o:title=""/>
          </v:shape>
          <o:OLEObject Type="Embed" ProgID="Equation.3" ShapeID="_x0000_i1055" DrawAspect="Content" ObjectID="_1709999231" r:id="rId66"/>
        </w:object>
      </w:r>
      <w:r w:rsidR="00421397" w:rsidRPr="00063FDC">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09999232" r:id="rId67"/>
        </w:object>
      </w:r>
      <w:r w:rsidR="00421397" w:rsidRPr="00063FDC">
        <w:rPr>
          <w:color w:val="000000" w:themeColor="text1"/>
          <w:sz w:val="24"/>
          <w:szCs w:val="24"/>
          <w:lang w:eastAsia="ru-RU"/>
        </w:rPr>
        <w:t>- процентная ставка, соответствующая:</w:t>
      </w:r>
    </w:p>
    <w:p w14:paraId="15BC13FB"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09999233" r:id="rId68"/>
        </w:object>
      </w:r>
      <w:r w:rsidR="00421397" w:rsidRPr="00063FDC">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2C212525">
          <v:shape id="_x0000_i1058" type="#_x0000_t75" style="width:13.2pt;height:21pt" o:ole="">
            <v:imagedata r:id="rId49" o:title=""/>
          </v:shape>
          <o:OLEObject Type="Embed" ProgID="Equation.3" ShapeID="_x0000_i1058" DrawAspect="Content" ObjectID="_1709999234" r:id="rId69"/>
        </w:object>
      </w:r>
      <w:r w:rsidR="00421397" w:rsidRPr="00063FDC">
        <w:rPr>
          <w:color w:val="000000" w:themeColor="text1"/>
          <w:sz w:val="24"/>
          <w:szCs w:val="24"/>
          <w:lang w:eastAsia="ru-RU"/>
        </w:rPr>
        <w:t>;</w:t>
      </w:r>
    </w:p>
    <w:p w14:paraId="6B572F57"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09999235" r:id="rId70"/>
        </w:object>
      </w:r>
      <w:r w:rsidR="00421397" w:rsidRPr="00063FDC">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61C5A03C">
          <v:shape id="_x0000_i1060" type="#_x0000_t75" style="width:13.2pt;height:21pt" o:ole="">
            <v:imagedata r:id="rId49" o:title=""/>
          </v:shape>
          <o:OLEObject Type="Embed" ProgID="Equation.3" ShapeID="_x0000_i1060" DrawAspect="Content" ObjectID="_1709999236" r:id="rId71"/>
        </w:object>
      </w:r>
      <w:r w:rsidR="00421397" w:rsidRPr="00063FDC">
        <w:rPr>
          <w:color w:val="000000" w:themeColor="text1"/>
          <w:sz w:val="24"/>
          <w:szCs w:val="24"/>
          <w:lang w:eastAsia="ru-RU"/>
        </w:rPr>
        <w:t>;</w:t>
      </w:r>
    </w:p>
    <w:p w14:paraId="0AC00E6D" w14:textId="77777777" w:rsidR="0061109D" w:rsidRPr="00063FDC" w:rsidRDefault="00421397"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кол-во с</w:t>
      </w:r>
      <w:r w:rsidR="00A24024" w:rsidRPr="00063FDC">
        <w:rPr>
          <w:color w:val="000000" w:themeColor="text1"/>
          <w:sz w:val="24"/>
          <w:szCs w:val="24"/>
          <w:lang w:eastAsia="ru-RU"/>
        </w:rPr>
        <w:t>тавок, действовавших в отчетном</w:t>
      </w:r>
      <w:r w:rsidRPr="00063FDC">
        <w:rPr>
          <w:color w:val="000000" w:themeColor="text1"/>
          <w:sz w:val="24"/>
          <w:szCs w:val="24"/>
          <w:lang w:eastAsia="ru-RU"/>
        </w:rPr>
        <w:t xml:space="preserve"> году;</w:t>
      </w:r>
    </w:p>
    <w:p w14:paraId="04F61BC8"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00" w:dyaOrig="360" w14:anchorId="75A119E0">
          <v:shape id="_x0000_i1061" type="#_x0000_t75" style="width:16.8pt;height:21pt" o:ole="">
            <v:imagedata r:id="rId72" o:title=""/>
          </v:shape>
          <o:OLEObject Type="Embed" ProgID="Equation.3" ShapeID="_x0000_i1061" DrawAspect="Content" ObjectID="_1709999237" r:id="rId73"/>
        </w:object>
      </w:r>
      <w:r w:rsidR="00421397" w:rsidRPr="00063FDC">
        <w:rPr>
          <w:color w:val="000000" w:themeColor="text1"/>
          <w:sz w:val="24"/>
          <w:szCs w:val="24"/>
          <w:lang w:eastAsia="ru-RU"/>
        </w:rPr>
        <w:t xml:space="preserve">- количество рабочих дней периода, в котором действовала ставка </w:t>
      </w:r>
      <w:r w:rsidRPr="00063FDC">
        <w:rPr>
          <w:color w:val="000000" w:themeColor="text1"/>
          <w:sz w:val="24"/>
          <w:szCs w:val="24"/>
          <w:lang w:eastAsia="ru-RU"/>
        </w:rPr>
        <w:object w:dxaOrig="279" w:dyaOrig="360" w14:anchorId="406A9EC9">
          <v:shape id="_x0000_i1062" type="#_x0000_t75" style="width:14.4pt;height:21pt" o:ole="">
            <v:imagedata r:id="rId34" o:title=""/>
          </v:shape>
          <o:OLEObject Type="Embed" ProgID="Equation.3" ShapeID="_x0000_i1062" DrawAspect="Content" ObjectID="_1709999238" r:id="rId74"/>
        </w:object>
      </w:r>
      <w:r w:rsidR="00421397" w:rsidRPr="00063FDC">
        <w:rPr>
          <w:color w:val="000000" w:themeColor="text1"/>
          <w:sz w:val="24"/>
          <w:szCs w:val="24"/>
          <w:lang w:eastAsia="ru-RU"/>
        </w:rPr>
        <w:t xml:space="preserve">, принадлежащее периоду </w:t>
      </w:r>
      <w:r w:rsidRPr="00063FDC">
        <w:rPr>
          <w:color w:val="000000" w:themeColor="text1"/>
          <w:sz w:val="24"/>
          <w:szCs w:val="24"/>
          <w:lang w:eastAsia="ru-RU"/>
        </w:rPr>
        <w:object w:dxaOrig="260" w:dyaOrig="360" w14:anchorId="555A5AF6">
          <v:shape id="_x0000_i1063" type="#_x0000_t75" style="width:13.2pt;height:21pt" o:ole="">
            <v:imagedata r:id="rId49" o:title=""/>
          </v:shape>
          <o:OLEObject Type="Embed" ProgID="Equation.3" ShapeID="_x0000_i1063" DrawAspect="Content" ObjectID="_1709999239" r:id="rId75"/>
        </w:object>
      </w:r>
      <w:r w:rsidR="00421397" w:rsidRPr="00063FDC">
        <w:rPr>
          <w:color w:val="000000" w:themeColor="text1"/>
          <w:sz w:val="24"/>
          <w:szCs w:val="24"/>
          <w:lang w:eastAsia="ru-RU"/>
        </w:rPr>
        <w:t xml:space="preserve">, где </w:t>
      </w:r>
      <w:r w:rsidRPr="00063FDC">
        <w:rPr>
          <w:color w:val="000000" w:themeColor="text1"/>
          <w:sz w:val="24"/>
          <w:szCs w:val="24"/>
          <w:lang w:eastAsia="ru-RU"/>
        </w:rPr>
        <w:object w:dxaOrig="1040" w:dyaOrig="680" w14:anchorId="06607653">
          <v:shape id="_x0000_i1064" type="#_x0000_t75" style="width:49.8pt;height:36.6pt" o:ole="">
            <v:imagedata r:id="rId76" o:title=""/>
          </v:shape>
          <o:OLEObject Type="Embed" ProgID="Equation.3" ShapeID="_x0000_i1064" DrawAspect="Content" ObjectID="_1709999240" r:id="rId77"/>
        </w:object>
      </w:r>
      <w:r w:rsidR="00421397" w:rsidRPr="00063FDC">
        <w:rPr>
          <w:color w:val="000000" w:themeColor="text1"/>
          <w:sz w:val="24"/>
          <w:szCs w:val="24"/>
          <w:lang w:eastAsia="ru-RU"/>
        </w:rPr>
        <w:t>.</w:t>
      </w:r>
    </w:p>
    <w:p w14:paraId="70947343"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063FDC" w:rsidRDefault="00421397"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063FDC">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6pt;height:63pt" o:ole="">
              <v:imagedata r:id="rId78" o:title=""/>
            </v:shape>
            <o:OLEObject Type="Embed" ProgID="Equation.3" ShapeID="_x0000_i1065" DrawAspect="Content" ObjectID="_1709999241"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148D80FE">
                <v:shape id="_x0000_i1067" type="#_x0000_t75" style="width:137.4pt;height:65.4pt" o:ole="">
                  <v:imagedata r:id="rId80" o:title=""/>
                </v:shape>
                <o:OLEObject Type="Embed" ProgID="Equation.3" ShapeID="_x0000_i1067" DrawAspect="Content" ObjectID="_1709999242" r:id="rId81"/>
              </w:object>
            </m:r>
          </m:e>
        </m:d>
      </m:oMath>
      <w:r w:rsidRPr="00063FDC">
        <w:rPr>
          <w:color w:val="000000" w:themeColor="text1"/>
          <w:sz w:val="24"/>
          <w:szCs w:val="24"/>
          <w:lang w:eastAsia="ru-RU"/>
        </w:rPr>
        <w:t xml:space="preserve">               не округляются.</w:t>
      </w:r>
    </w:p>
    <w:p w14:paraId="26CDE620" w14:textId="77777777" w:rsidR="00990025" w:rsidRPr="00063FDC" w:rsidRDefault="00421397" w:rsidP="00A71CBA">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Округление при расчете </w:t>
      </w:r>
      <w:r w:rsidR="0061109D" w:rsidRPr="00063FDC">
        <w:rPr>
          <w:color w:val="000000" w:themeColor="text1"/>
          <w:sz w:val="24"/>
          <w:szCs w:val="24"/>
          <w:lang w:eastAsia="ru-RU"/>
        </w:rPr>
        <w:object w:dxaOrig="260" w:dyaOrig="360" w14:anchorId="3C1A851F">
          <v:shape id="_x0000_i1068" type="#_x0000_t75" style="width:13.2pt;height:21pt" o:ole="">
            <v:imagedata r:id="rId46" o:title=""/>
          </v:shape>
          <o:OLEObject Type="Embed" ProgID="Equation.3" ShapeID="_x0000_i1068" DrawAspect="Content" ObjectID="_1709999243" r:id="rId82"/>
        </w:object>
      </w:r>
      <w:r w:rsidRPr="00063FDC">
        <w:rPr>
          <w:color w:val="000000" w:themeColor="text1"/>
          <w:sz w:val="24"/>
          <w:szCs w:val="24"/>
          <w:lang w:eastAsia="ru-RU"/>
        </w:rPr>
        <w:t xml:space="preserve"> и </w:t>
      </w:r>
      <w:r w:rsidR="0061109D" w:rsidRPr="00063FDC">
        <w:rPr>
          <w:color w:val="000000" w:themeColor="text1"/>
          <w:sz w:val="24"/>
          <w:szCs w:val="24"/>
          <w:lang w:eastAsia="ru-RU"/>
        </w:rPr>
        <w:object w:dxaOrig="840" w:dyaOrig="380" w14:anchorId="6071BF9D">
          <v:shape id="_x0000_i1069" type="#_x0000_t75" style="width:45pt;height:14.4pt" o:ole="">
            <v:imagedata r:id="rId56" o:title=""/>
          </v:shape>
          <o:OLEObject Type="Embed" ProgID="Equation.3" ShapeID="_x0000_i1069" DrawAspect="Content" ObjectID="_1709999244" r:id="rId83"/>
        </w:object>
      </w:r>
      <w:r w:rsidRPr="00063FDC">
        <w:rPr>
          <w:color w:val="000000" w:themeColor="text1"/>
          <w:sz w:val="24"/>
          <w:szCs w:val="24"/>
          <w:lang w:eastAsia="ru-RU"/>
        </w:rPr>
        <w:t>производится на каждом действии до 2-х знаков после запятой.</w:t>
      </w:r>
    </w:p>
    <w:p w14:paraId="44022DD8" w14:textId="77777777" w:rsidR="00B468A1" w:rsidRPr="00063FDC" w:rsidRDefault="00B468A1" w:rsidP="00B468A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063FDC" w:rsidRDefault="002C2E91" w:rsidP="002C2E9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063FDC" w:rsidRDefault="00B468A1" w:rsidP="00217753">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063FDC" w:rsidRDefault="004231C7" w:rsidP="004231C7">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063FDC" w:rsidRDefault="005166A2" w:rsidP="00DA4829">
      <w:pPr>
        <w:autoSpaceDN w:val="0"/>
        <w:adjustRightInd w:val="0"/>
        <w:spacing w:line="360" w:lineRule="auto"/>
        <w:ind w:firstLine="708"/>
        <w:jc w:val="both"/>
        <w:rPr>
          <w:rFonts w:ascii="Verdana" w:hAnsi="Verdana" w:cs="Verdana"/>
          <w:color w:val="000000" w:themeColor="text1"/>
          <w:sz w:val="22"/>
          <w:szCs w:val="22"/>
        </w:rPr>
      </w:pPr>
      <w:r w:rsidRPr="00063FDC">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063FDC">
        <w:rPr>
          <w:color w:val="000000" w:themeColor="text1"/>
          <w:sz w:val="24"/>
          <w:szCs w:val="24"/>
          <w:lang w:eastAsia="ru-RU"/>
        </w:rPr>
        <w:t>ведение реестра владельцев инвестиционных паев паевого инвестиционного фонда,</w:t>
      </w:r>
      <w:r w:rsidRPr="00063FDC">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063FDC">
        <w:rPr>
          <w:color w:val="000000" w:themeColor="text1"/>
          <w:sz w:val="24"/>
          <w:szCs w:val="24"/>
          <w:lang w:eastAsia="ru-RU"/>
        </w:rPr>
        <w:t xml:space="preserve"> </w:t>
      </w:r>
      <w:r w:rsidR="00E75EA0" w:rsidRPr="00063FDC">
        <w:rPr>
          <w:color w:val="000000" w:themeColor="text1"/>
          <w:sz w:val="24"/>
          <w:szCs w:val="24"/>
          <w:lang w:eastAsia="ru-RU"/>
        </w:rPr>
        <w:t>момента их</w:t>
      </w:r>
      <w:r w:rsidRPr="00063FDC">
        <w:rPr>
          <w:color w:val="000000" w:themeColor="text1"/>
          <w:sz w:val="24"/>
          <w:szCs w:val="24"/>
          <w:lang w:eastAsia="ru-RU"/>
        </w:rPr>
        <w:t xml:space="preserve"> </w:t>
      </w:r>
      <w:r w:rsidR="00497733" w:rsidRPr="00063FDC">
        <w:rPr>
          <w:color w:val="000000" w:themeColor="text1"/>
          <w:sz w:val="24"/>
          <w:szCs w:val="24"/>
          <w:lang w:eastAsia="ru-RU"/>
        </w:rPr>
        <w:t>выплаты</w:t>
      </w:r>
      <w:r w:rsidRPr="00063FDC">
        <w:rPr>
          <w:color w:val="000000" w:themeColor="text1"/>
          <w:sz w:val="24"/>
          <w:szCs w:val="24"/>
          <w:lang w:eastAsia="ru-RU"/>
        </w:rPr>
        <w:t>.</w:t>
      </w:r>
      <w:r w:rsidR="006766BB" w:rsidRPr="00063FDC">
        <w:rPr>
          <w:rFonts w:ascii="Verdana" w:hAnsi="Verdana" w:cs="Verdana"/>
          <w:color w:val="000000" w:themeColor="text1"/>
          <w:sz w:val="22"/>
          <w:szCs w:val="22"/>
        </w:rPr>
        <w:t xml:space="preserve"> </w:t>
      </w:r>
    </w:p>
    <w:p w14:paraId="6D1D6430" w14:textId="77777777" w:rsidR="005166A2" w:rsidRPr="00063FDC" w:rsidRDefault="006766BB"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063FDC" w:rsidRDefault="00990025" w:rsidP="0099002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063FDC"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063FDC" w:rsidRDefault="009E5219" w:rsidP="009E5219">
      <w:pPr>
        <w:autoSpaceDN w:val="0"/>
        <w:adjustRightInd w:val="0"/>
        <w:ind w:firstLine="709"/>
        <w:jc w:val="center"/>
        <w:rPr>
          <w:b/>
          <w:color w:val="000000" w:themeColor="text1"/>
          <w:sz w:val="24"/>
          <w:szCs w:val="24"/>
          <w:lang w:eastAsia="ru-RU"/>
        </w:rPr>
      </w:pPr>
      <w:r w:rsidRPr="00063FDC">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063FDC"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063FDC"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063FDC" w:rsidRDefault="00421397" w:rsidP="00FC048C">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063FDC"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063FDC" w:rsidRDefault="00420DD8"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063FDC">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7777777" w:rsidR="002C56E6" w:rsidRPr="00063FDC" w:rsidRDefault="002C56E6"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063FDC" w:rsidRDefault="00421397" w:rsidP="00A24024">
      <w:pPr>
        <w:suppressAutoHyphens w:val="0"/>
        <w:autoSpaceDE/>
        <w:spacing w:line="259" w:lineRule="auto"/>
        <w:jc w:val="center"/>
        <w:rPr>
          <w:b/>
          <w:color w:val="000000" w:themeColor="text1"/>
          <w:sz w:val="24"/>
          <w:szCs w:val="24"/>
          <w:lang w:eastAsia="ru-RU"/>
        </w:rPr>
      </w:pPr>
      <w:r w:rsidRPr="00063FDC">
        <w:rPr>
          <w:b/>
          <w:color w:val="000000" w:themeColor="text1"/>
          <w:sz w:val="24"/>
          <w:szCs w:val="24"/>
          <w:lang w:eastAsia="ru-RU"/>
        </w:rPr>
        <w:t>ПЕРЕРАСЧЕТ СЧА</w:t>
      </w:r>
    </w:p>
    <w:p w14:paraId="1B60B328" w14:textId="77777777" w:rsidR="0061109D" w:rsidRPr="00063FDC"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063FDC">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063FDC">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063FDC" w:rsidRDefault="00634B8A">
      <w:pPr>
        <w:suppressAutoHyphens w:val="0"/>
        <w:autoSpaceDE/>
        <w:spacing w:after="160" w:line="259" w:lineRule="auto"/>
        <w:rPr>
          <w:color w:val="000000" w:themeColor="text1"/>
          <w:sz w:val="24"/>
          <w:szCs w:val="24"/>
          <w:lang w:eastAsia="ru-RU"/>
        </w:rPr>
      </w:pPr>
    </w:p>
    <w:p w14:paraId="6BDEE85B" w14:textId="6E094E54" w:rsidR="00172304" w:rsidRPr="00063FDC" w:rsidRDefault="00172304" w:rsidP="00172304">
      <w:pPr>
        <w:jc w:val="right"/>
        <w:rPr>
          <w:b/>
          <w:color w:val="000000" w:themeColor="text1"/>
          <w:sz w:val="24"/>
          <w:szCs w:val="24"/>
        </w:rPr>
      </w:pPr>
      <w:r w:rsidRPr="00063FDC">
        <w:rPr>
          <w:b/>
          <w:color w:val="000000" w:themeColor="text1"/>
          <w:sz w:val="24"/>
          <w:szCs w:val="24"/>
        </w:rPr>
        <w:t xml:space="preserve">Приложение </w:t>
      </w:r>
      <w:r w:rsidR="009C12C5" w:rsidRPr="00063FDC">
        <w:rPr>
          <w:b/>
          <w:color w:val="000000" w:themeColor="text1"/>
          <w:sz w:val="24"/>
          <w:szCs w:val="24"/>
        </w:rPr>
        <w:t>1</w:t>
      </w:r>
    </w:p>
    <w:p w14:paraId="6184D1A2" w14:textId="77777777" w:rsidR="00172304" w:rsidRPr="00063FDC" w:rsidRDefault="00172304" w:rsidP="00172304">
      <w:pPr>
        <w:jc w:val="center"/>
        <w:rPr>
          <w:b/>
          <w:color w:val="000000" w:themeColor="text1"/>
          <w:sz w:val="24"/>
          <w:szCs w:val="24"/>
        </w:rPr>
      </w:pPr>
      <w:r w:rsidRPr="00063FDC">
        <w:rPr>
          <w:b/>
          <w:color w:val="000000" w:themeColor="text1"/>
          <w:sz w:val="24"/>
          <w:szCs w:val="24"/>
        </w:rPr>
        <w:t xml:space="preserve">ДЕНЕЖНЫЕ СРЕДСТВА НА РАСЧЕТНЫХ СЧЕТАХ, </w:t>
      </w:r>
    </w:p>
    <w:p w14:paraId="3F6B2751" w14:textId="77777777" w:rsidR="00172304" w:rsidRPr="00063FDC" w:rsidRDefault="00172304" w:rsidP="00172304">
      <w:pPr>
        <w:jc w:val="center"/>
        <w:rPr>
          <w:b/>
          <w:color w:val="000000" w:themeColor="text1"/>
          <w:sz w:val="24"/>
          <w:szCs w:val="24"/>
        </w:rPr>
      </w:pPr>
      <w:r w:rsidRPr="00063FDC">
        <w:rPr>
          <w:b/>
          <w:color w:val="000000" w:themeColor="text1"/>
          <w:sz w:val="24"/>
          <w:szCs w:val="24"/>
        </w:rPr>
        <w:t>ОТКРЫТЫХ УПРАВЛЯЮЩЕЙ КОМПАНИИ Д.У. ПИФ</w:t>
      </w:r>
    </w:p>
    <w:p w14:paraId="0CD024BF" w14:textId="77777777" w:rsidR="00172304" w:rsidRPr="00063FDC" w:rsidRDefault="00172304" w:rsidP="00172304">
      <w:pPr>
        <w:jc w:val="both"/>
        <w:rPr>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172304" w:rsidRPr="00063FDC" w14:paraId="7ABC6B65" w14:textId="77777777" w:rsidTr="00190E33">
        <w:trPr>
          <w:trHeight w:val="363"/>
        </w:trPr>
        <w:tc>
          <w:tcPr>
            <w:tcW w:w="1060" w:type="pct"/>
            <w:shd w:val="clear" w:color="auto" w:fill="A6A6A6" w:themeFill="background1" w:themeFillShade="A6"/>
            <w:vAlign w:val="center"/>
          </w:tcPr>
          <w:p w14:paraId="281E7074"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Виды активов</w:t>
            </w:r>
          </w:p>
        </w:tc>
        <w:tc>
          <w:tcPr>
            <w:tcW w:w="3940" w:type="pct"/>
            <w:vAlign w:val="center"/>
          </w:tcPr>
          <w:p w14:paraId="32CCED68" w14:textId="77777777" w:rsidR="00172304" w:rsidRPr="00063FDC" w:rsidRDefault="00172304" w:rsidP="00190E33">
            <w:pPr>
              <w:ind w:firstLine="717"/>
              <w:jc w:val="both"/>
              <w:rPr>
                <w:iCs/>
                <w:color w:val="000000" w:themeColor="text1"/>
                <w:sz w:val="24"/>
                <w:szCs w:val="24"/>
              </w:rPr>
            </w:pPr>
            <w:r w:rsidRPr="00063FDC">
              <w:rPr>
                <w:bCs/>
                <w:color w:val="000000" w:themeColor="text1"/>
                <w:sz w:val="24"/>
                <w:szCs w:val="24"/>
              </w:rPr>
              <w:t>Денежные средства на расчётных счетах, в том числе на валютных счетах, открытых управляющей компании Д.У. ПИФ</w:t>
            </w:r>
          </w:p>
        </w:tc>
      </w:tr>
      <w:tr w:rsidR="00172304" w:rsidRPr="00063FDC" w14:paraId="0F62EFA1" w14:textId="77777777" w:rsidTr="00190E33">
        <w:trPr>
          <w:trHeight w:val="572"/>
        </w:trPr>
        <w:tc>
          <w:tcPr>
            <w:tcW w:w="1060" w:type="pct"/>
            <w:shd w:val="clear" w:color="auto" w:fill="A6A6A6" w:themeFill="background1" w:themeFillShade="A6"/>
            <w:vAlign w:val="center"/>
          </w:tcPr>
          <w:p w14:paraId="2970FFDF"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Критерии признания</w:t>
            </w:r>
          </w:p>
        </w:tc>
        <w:tc>
          <w:tcPr>
            <w:tcW w:w="3940" w:type="pct"/>
            <w:vAlign w:val="center"/>
          </w:tcPr>
          <w:p w14:paraId="6F14E35A"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 Дата зачисления денежных средств на соответствующий банковский счет (расчетный, транзитный валютный, валютный).</w:t>
            </w:r>
          </w:p>
        </w:tc>
      </w:tr>
      <w:tr w:rsidR="00172304" w:rsidRPr="00063FDC" w14:paraId="61E57201" w14:textId="77777777" w:rsidTr="00190E33">
        <w:trPr>
          <w:trHeight w:val="1607"/>
        </w:trPr>
        <w:tc>
          <w:tcPr>
            <w:tcW w:w="1060" w:type="pct"/>
            <w:shd w:val="clear" w:color="auto" w:fill="A6A6A6" w:themeFill="background1" w:themeFillShade="A6"/>
            <w:vAlign w:val="center"/>
          </w:tcPr>
          <w:p w14:paraId="618FB7BF" w14:textId="77777777" w:rsidR="00172304" w:rsidRPr="00063FDC" w:rsidRDefault="00172304" w:rsidP="00190E33">
            <w:pPr>
              <w:jc w:val="both"/>
              <w:rPr>
                <w:b/>
                <w:color w:val="000000" w:themeColor="text1"/>
                <w:sz w:val="24"/>
                <w:szCs w:val="24"/>
              </w:rPr>
            </w:pPr>
            <w:r w:rsidRPr="00063FDC">
              <w:rPr>
                <w:b/>
                <w:color w:val="000000" w:themeColor="text1"/>
                <w:sz w:val="24"/>
                <w:szCs w:val="24"/>
              </w:rPr>
              <w:t>Критерии прекращения признания</w:t>
            </w:r>
          </w:p>
        </w:tc>
        <w:tc>
          <w:tcPr>
            <w:tcW w:w="3940" w:type="pct"/>
            <w:vAlign w:val="center"/>
          </w:tcPr>
          <w:p w14:paraId="6189066E"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исполнения кредитной организацией обязательств по перечислению денежных средств со счета;</w:t>
            </w:r>
          </w:p>
          <w:p w14:paraId="60C8A750"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решения Банка России об отзыве лицензии банка (денежные средства переходят в разряд прочей дебиторской задолженности);</w:t>
            </w:r>
          </w:p>
          <w:p w14:paraId="0CC7A3D9"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67766771" w14:textId="77777777" w:rsidTr="00190E33">
        <w:trPr>
          <w:trHeight w:val="709"/>
        </w:trPr>
        <w:tc>
          <w:tcPr>
            <w:tcW w:w="1060" w:type="pct"/>
            <w:shd w:val="clear" w:color="auto" w:fill="A6A6A6" w:themeFill="background1" w:themeFillShade="A6"/>
            <w:vAlign w:val="center"/>
          </w:tcPr>
          <w:p w14:paraId="3A5376B7" w14:textId="77777777" w:rsidR="00172304" w:rsidRPr="00063FDC" w:rsidRDefault="00172304" w:rsidP="00190E33">
            <w:pPr>
              <w:jc w:val="both"/>
              <w:rPr>
                <w:b/>
                <w:color w:val="000000" w:themeColor="text1"/>
                <w:sz w:val="24"/>
                <w:szCs w:val="24"/>
              </w:rPr>
            </w:pPr>
            <w:r w:rsidRPr="00063FDC">
              <w:rPr>
                <w:b/>
                <w:color w:val="000000" w:themeColor="text1"/>
                <w:sz w:val="24"/>
                <w:szCs w:val="24"/>
              </w:rPr>
              <w:t>Справедливая стоимость</w:t>
            </w:r>
          </w:p>
        </w:tc>
        <w:tc>
          <w:tcPr>
            <w:tcW w:w="3940" w:type="pct"/>
            <w:vAlign w:val="center"/>
          </w:tcPr>
          <w:p w14:paraId="2EFE28F7"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Справедливая стоимость денежных средств на счете, в том числе на транзитном валютном, валютном счете, открытом на управляющую компанию Д.У. ПИФ определяется в сумме остатка денежных средств на счете. </w:t>
            </w:r>
          </w:p>
        </w:tc>
      </w:tr>
      <w:tr w:rsidR="00172304" w:rsidRPr="00063FDC" w14:paraId="45C7BDD4" w14:textId="77777777" w:rsidTr="00190E33">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6B407A" w14:textId="77777777" w:rsidR="00172304" w:rsidRPr="00063FDC" w:rsidRDefault="00172304" w:rsidP="00190E33">
            <w:pPr>
              <w:jc w:val="both"/>
              <w:rPr>
                <w:b/>
                <w:color w:val="000000" w:themeColor="text1"/>
                <w:sz w:val="24"/>
                <w:szCs w:val="24"/>
              </w:rPr>
            </w:pPr>
            <w:r w:rsidRPr="00063FDC">
              <w:rPr>
                <w:b/>
                <w:color w:val="000000" w:themeColor="text1"/>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61956DC6"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3CA11C85" w14:textId="290A86F9"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F05C35" w:rsidRPr="00063FDC">
                <w:rPr>
                  <w:bCs/>
                  <w:color w:val="000000" w:themeColor="text1"/>
                  <w:sz w:val="24"/>
                  <w:szCs w:val="24"/>
                </w:rPr>
                <w:t>10</w:t>
              </w:r>
            </w:hyperlink>
            <w:r w:rsidRPr="00063FDC">
              <w:rPr>
                <w:bCs/>
                <w:color w:val="000000" w:themeColor="text1"/>
                <w:sz w:val="24"/>
                <w:szCs w:val="24"/>
              </w:rPr>
              <w:t>)</w:t>
            </w:r>
          </w:p>
          <w:p w14:paraId="0BD0011F" w14:textId="6A374027" w:rsidR="00172304" w:rsidRPr="00063FDC" w:rsidRDefault="00172304" w:rsidP="00F05C35">
            <w:pPr>
              <w:ind w:firstLine="717"/>
              <w:jc w:val="both"/>
              <w:rPr>
                <w:bCs/>
                <w:color w:val="000000" w:themeColor="text1"/>
                <w:sz w:val="24"/>
                <w:szCs w:val="24"/>
              </w:rPr>
            </w:pPr>
            <w:r w:rsidRPr="00063FDC">
              <w:rPr>
                <w:color w:val="000000" w:themeColor="text1"/>
                <w:sz w:val="24"/>
                <w:szCs w:val="24"/>
              </w:rPr>
              <w:t xml:space="preserve">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w:t>
            </w:r>
            <w:r w:rsidR="00F05C35" w:rsidRPr="00063FDC">
              <w:rPr>
                <w:color w:val="000000" w:themeColor="text1"/>
                <w:sz w:val="24"/>
                <w:szCs w:val="24"/>
              </w:rPr>
              <w:t>10</w:t>
            </w:r>
            <w:r w:rsidRPr="00063FDC">
              <w:rPr>
                <w:color w:val="000000" w:themeColor="text1"/>
                <w:sz w:val="24"/>
                <w:szCs w:val="24"/>
              </w:rPr>
              <w:t>.</w:t>
            </w:r>
          </w:p>
        </w:tc>
      </w:tr>
    </w:tbl>
    <w:p w14:paraId="1ACA575E" w14:textId="77777777" w:rsidR="00172304" w:rsidRPr="00063FDC" w:rsidRDefault="00172304" w:rsidP="00172304">
      <w:pPr>
        <w:jc w:val="both"/>
        <w:rPr>
          <w:color w:val="000000" w:themeColor="text1"/>
          <w:sz w:val="24"/>
          <w:szCs w:val="24"/>
        </w:rPr>
        <w:sectPr w:rsidR="00172304" w:rsidRPr="00063FDC" w:rsidSect="00882F02">
          <w:pgSz w:w="12240" w:h="15840"/>
          <w:pgMar w:top="1134" w:right="851" w:bottom="1134" w:left="1276" w:header="720" w:footer="720" w:gutter="0"/>
          <w:cols w:space="720"/>
          <w:noEndnote/>
          <w:docGrid w:linePitch="299"/>
        </w:sectPr>
      </w:pPr>
    </w:p>
    <w:p w14:paraId="5F867375" w14:textId="68E01BB9" w:rsidR="00172304" w:rsidRPr="00063FDC" w:rsidRDefault="00172304" w:rsidP="00172304">
      <w:pPr>
        <w:autoSpaceDN w:val="0"/>
        <w:adjustRightInd w:val="0"/>
        <w:spacing w:line="360" w:lineRule="auto"/>
        <w:ind w:firstLine="709"/>
        <w:jc w:val="right"/>
        <w:rPr>
          <w:b/>
          <w:bCs/>
          <w:color w:val="000000" w:themeColor="text1"/>
          <w:sz w:val="24"/>
          <w:szCs w:val="24"/>
          <w:lang w:eastAsia="ru-RU"/>
        </w:rPr>
      </w:pPr>
      <w:r w:rsidRPr="00063FDC">
        <w:rPr>
          <w:b/>
          <w:bCs/>
          <w:color w:val="000000" w:themeColor="text1"/>
          <w:sz w:val="24"/>
          <w:szCs w:val="24"/>
          <w:lang w:eastAsia="ru-RU"/>
        </w:rPr>
        <w:t xml:space="preserve">Приложение </w:t>
      </w:r>
      <w:r w:rsidR="009C12C5" w:rsidRPr="00063FDC">
        <w:rPr>
          <w:b/>
          <w:bCs/>
          <w:color w:val="000000" w:themeColor="text1"/>
          <w:sz w:val="24"/>
          <w:szCs w:val="24"/>
          <w:lang w:eastAsia="ru-RU"/>
        </w:rPr>
        <w:t>2</w:t>
      </w:r>
    </w:p>
    <w:p w14:paraId="4408463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ДЕНЕЖНЫЕ СРЕДСТВА ВО ВКЛАДАХ</w:t>
      </w:r>
    </w:p>
    <w:p w14:paraId="0C7994DB" w14:textId="77777777" w:rsidR="00172304" w:rsidRPr="00063FDC" w:rsidRDefault="00172304" w:rsidP="00172304">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02845C9C" w14:textId="77777777" w:rsidTr="00190E33">
        <w:trPr>
          <w:trHeight w:val="601"/>
        </w:trPr>
        <w:tc>
          <w:tcPr>
            <w:tcW w:w="1060" w:type="pct"/>
            <w:shd w:val="clear" w:color="auto" w:fill="A6A6A6" w:themeFill="background1" w:themeFillShade="A6"/>
            <w:vAlign w:val="center"/>
          </w:tcPr>
          <w:p w14:paraId="2F503AE0"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33EF6863" w14:textId="77777777" w:rsidR="00172304" w:rsidRPr="00063FDC" w:rsidRDefault="00172304" w:rsidP="00190E33">
            <w:pPr>
              <w:autoSpaceDN w:val="0"/>
              <w:adjustRightInd w:val="0"/>
              <w:ind w:firstLine="767"/>
              <w:jc w:val="both"/>
              <w:rPr>
                <w:iCs/>
                <w:color w:val="000000" w:themeColor="text1"/>
                <w:sz w:val="24"/>
                <w:szCs w:val="24"/>
                <w:lang w:eastAsia="ru-RU"/>
              </w:rPr>
            </w:pPr>
            <w:r w:rsidRPr="00063FDC">
              <w:rPr>
                <w:bCs/>
                <w:color w:val="000000" w:themeColor="text1"/>
                <w:sz w:val="24"/>
                <w:szCs w:val="24"/>
                <w:lang w:eastAsia="ru-RU"/>
              </w:rPr>
              <w:t>Денежные средства во вкладах, в том числе валютных, открытых на управляющую компанию Д.У. ПИФ</w:t>
            </w:r>
          </w:p>
        </w:tc>
      </w:tr>
      <w:tr w:rsidR="00172304" w:rsidRPr="00063FDC" w14:paraId="48CF153B" w14:textId="77777777" w:rsidTr="00190E33">
        <w:trPr>
          <w:trHeight w:val="1120"/>
        </w:trPr>
        <w:tc>
          <w:tcPr>
            <w:tcW w:w="1060" w:type="pct"/>
            <w:shd w:val="clear" w:color="auto" w:fill="A6A6A6" w:themeFill="background1" w:themeFillShade="A6"/>
            <w:vAlign w:val="center"/>
          </w:tcPr>
          <w:p w14:paraId="2AE17A74"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27238D4F"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зачисления денежных средств на соответствующий депозитный счет;</w:t>
            </w:r>
          </w:p>
          <w:p w14:paraId="19F0E006"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суммы вклада и начисленных процентов на основании договора.</w:t>
            </w:r>
          </w:p>
        </w:tc>
      </w:tr>
      <w:tr w:rsidR="00172304" w:rsidRPr="00063FDC" w14:paraId="74FE227D" w14:textId="77777777" w:rsidTr="00190E33">
        <w:trPr>
          <w:trHeight w:val="983"/>
        </w:trPr>
        <w:tc>
          <w:tcPr>
            <w:tcW w:w="1060" w:type="pct"/>
            <w:shd w:val="clear" w:color="auto" w:fill="A6A6A6" w:themeFill="background1" w:themeFillShade="A6"/>
            <w:vAlign w:val="center"/>
          </w:tcPr>
          <w:p w14:paraId="4B6E441C"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Критерии прекращения признания</w:t>
            </w:r>
          </w:p>
        </w:tc>
        <w:tc>
          <w:tcPr>
            <w:tcW w:w="3940" w:type="pct"/>
            <w:vAlign w:val="center"/>
          </w:tcPr>
          <w:p w14:paraId="6037D18B" w14:textId="77777777" w:rsidR="00172304" w:rsidRPr="00063FDC" w:rsidRDefault="00172304" w:rsidP="00C8239C">
            <w:pPr>
              <w:pStyle w:val="a8"/>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исполнения кредитной организацией обязательства по возврату вклада;</w:t>
            </w:r>
          </w:p>
          <w:p w14:paraId="586EA680"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вклада и начисленных процентов на основании договора;</w:t>
            </w:r>
          </w:p>
          <w:p w14:paraId="27F650A5"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2F80A31B"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2566711A" w14:textId="77777777" w:rsidTr="00190E33">
        <w:trPr>
          <w:trHeight w:val="558"/>
        </w:trPr>
        <w:tc>
          <w:tcPr>
            <w:tcW w:w="1060" w:type="pct"/>
            <w:shd w:val="clear" w:color="auto" w:fill="A6A6A6" w:themeFill="background1" w:themeFillShade="A6"/>
            <w:vAlign w:val="center"/>
          </w:tcPr>
          <w:p w14:paraId="547E13E3"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Справедливая стоимость</w:t>
            </w:r>
          </w:p>
        </w:tc>
        <w:tc>
          <w:tcPr>
            <w:tcW w:w="3940" w:type="pct"/>
            <w:vAlign w:val="center"/>
          </w:tcPr>
          <w:p w14:paraId="03CDDCAF"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bCs/>
                <w:color w:val="000000" w:themeColor="text1"/>
                <w:sz w:val="24"/>
                <w:szCs w:val="24"/>
                <w:lang w:eastAsia="ru-RU"/>
              </w:rPr>
              <w:t xml:space="preserve">           Справедливая стоимость денежных средств во вкладах, </w:t>
            </w:r>
            <w:r w:rsidRPr="00063FDC">
              <w:rPr>
                <w:color w:val="000000" w:themeColor="text1"/>
                <w:sz w:val="24"/>
                <w:szCs w:val="24"/>
                <w:lang w:eastAsia="ru-RU"/>
              </w:rPr>
              <w:t>в течение максимального срока, предусмотренного договором,</w:t>
            </w:r>
            <w:r w:rsidRPr="00063FDC">
              <w:rPr>
                <w:bCs/>
                <w:color w:val="000000" w:themeColor="text1"/>
                <w:sz w:val="24"/>
                <w:szCs w:val="24"/>
                <w:lang w:eastAsia="ru-RU"/>
              </w:rPr>
              <w:t xml:space="preserve"> определяется:</w:t>
            </w:r>
          </w:p>
          <w:p w14:paraId="0B97EAA9" w14:textId="77777777"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063FDC">
              <w:rPr>
                <w:b/>
                <w:bCs/>
                <w:color w:val="000000" w:themeColor="text1"/>
                <w:sz w:val="24"/>
                <w:szCs w:val="24"/>
                <w:lang w:eastAsia="ru-RU"/>
              </w:rPr>
              <w:t>если срок погашения вклада «до востребования»</w:t>
            </w:r>
            <w:r w:rsidRPr="00063FDC">
              <w:rPr>
                <w:bCs/>
                <w:color w:val="000000" w:themeColor="text1"/>
                <w:sz w:val="24"/>
                <w:szCs w:val="24"/>
                <w:lang w:eastAsia="ru-RU"/>
              </w:rPr>
              <w:t>;</w:t>
            </w:r>
          </w:p>
          <w:p w14:paraId="5E121B00" w14:textId="297DFEB2"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063FDC">
              <w:rPr>
                <w:b/>
                <w:bCs/>
                <w:color w:val="000000" w:themeColor="text1"/>
                <w:sz w:val="24"/>
                <w:szCs w:val="24"/>
                <w:lang w:eastAsia="ru-RU"/>
              </w:rPr>
              <w:t>, если срок возврата вклада не более 1 (Одного) года и ставка по договору соответствует рыночной</w:t>
            </w:r>
            <w:r w:rsidRPr="00063FDC">
              <w:rPr>
                <w:rFonts w:eastAsia="Batang"/>
                <w:color w:val="000000" w:themeColor="text1"/>
                <w:sz w:val="24"/>
                <w:szCs w:val="24"/>
              </w:rPr>
              <w:t xml:space="preserve"> на дату определения справедливой стоимости</w:t>
            </w:r>
            <w:r w:rsidRPr="00063FDC">
              <w:rPr>
                <w:b/>
                <w:bCs/>
                <w:color w:val="000000" w:themeColor="text1"/>
                <w:sz w:val="24"/>
                <w:szCs w:val="24"/>
                <w:lang w:eastAsia="ru-RU"/>
              </w:rPr>
              <w:t>.</w:t>
            </w:r>
            <w:r w:rsidRPr="00063FDC">
              <w:rPr>
                <w:bCs/>
                <w:color w:val="000000" w:themeColor="text1"/>
                <w:sz w:val="24"/>
                <w:szCs w:val="24"/>
                <w:lang w:eastAsia="ru-RU"/>
              </w:rPr>
              <w:t xml:space="preserve"> Ставка по договору соответствует рыночной, если она удовлетворяет требованиям для ставки дисконтирования, содержащиеся в Приложении 3; </w:t>
            </w:r>
          </w:p>
          <w:p w14:paraId="77A2C562" w14:textId="5487826B"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w:t>
            </w:r>
            <w:r w:rsidRPr="00063FDC">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05C35" w:rsidRPr="00063FDC">
              <w:rPr>
                <w:color w:val="000000" w:themeColor="text1"/>
                <w:sz w:val="24"/>
                <w:szCs w:val="24"/>
                <w:lang w:eastAsia="ru-RU"/>
              </w:rPr>
              <w:t>9</w:t>
            </w:r>
            <w:r w:rsidRPr="00063FDC">
              <w:rPr>
                <w:color w:val="000000" w:themeColor="text1"/>
                <w:sz w:val="24"/>
                <w:szCs w:val="24"/>
                <w:lang w:eastAsia="ru-RU"/>
              </w:rPr>
              <w:t xml:space="preserve">) </w:t>
            </w:r>
            <w:r w:rsidRPr="00063FDC">
              <w:rPr>
                <w:b/>
                <w:color w:val="000000" w:themeColor="text1"/>
                <w:sz w:val="24"/>
                <w:szCs w:val="24"/>
                <w:lang w:eastAsia="ru-RU"/>
              </w:rPr>
              <w:t>в иных случаях.</w:t>
            </w:r>
          </w:p>
          <w:p w14:paraId="3A7B4081"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color w:val="000000" w:themeColor="text1"/>
              </w:rPr>
              <w:t xml:space="preserve">                </w:t>
            </w:r>
            <w:r w:rsidRPr="00063FDC">
              <w:rPr>
                <w:bCs/>
                <w:color w:val="000000" w:themeColor="text1"/>
                <w:sz w:val="24"/>
                <w:szCs w:val="24"/>
                <w:lang w:eastAsia="ru-RU"/>
              </w:rPr>
              <w:t xml:space="preserve">В случае внесения изменения в </w:t>
            </w:r>
            <w:r w:rsidRPr="00063FDC">
              <w:rPr>
                <w:color w:val="000000" w:themeColor="text1"/>
                <w:sz w:val="24"/>
                <w:szCs w:val="24"/>
                <w:lang w:eastAsia="ru-RU"/>
              </w:rPr>
              <w:t>условия определения срока</w:t>
            </w:r>
            <w:r w:rsidRPr="00063FDC">
              <w:rPr>
                <w:bCs/>
                <w:color w:val="000000" w:themeColor="text1"/>
                <w:sz w:val="24"/>
                <w:szCs w:val="24"/>
                <w:lang w:eastAsia="ru-RU"/>
              </w:rPr>
              <w:t xml:space="preserve"> договора </w:t>
            </w:r>
            <w:r w:rsidRPr="00063FDC">
              <w:rPr>
                <w:color w:val="000000" w:themeColor="text1"/>
                <w:sz w:val="24"/>
                <w:szCs w:val="24"/>
                <w:lang w:eastAsia="ru-RU"/>
              </w:rPr>
              <w:t>максимальный срок определяется в соответствии с изменённым сроком вклада, действующим на дату определения справедливой стоимости причем накопление срока вклада не происходит.</w:t>
            </w:r>
          </w:p>
        </w:tc>
      </w:tr>
      <w:tr w:rsidR="00172304" w:rsidRPr="00063FDC" w14:paraId="2F900B9B" w14:textId="77777777" w:rsidTr="00190E33">
        <w:trPr>
          <w:trHeight w:val="944"/>
        </w:trPr>
        <w:tc>
          <w:tcPr>
            <w:tcW w:w="1060" w:type="pct"/>
            <w:shd w:val="clear" w:color="auto" w:fill="A6A6A6" w:themeFill="background1" w:themeFillShade="A6"/>
            <w:vAlign w:val="center"/>
          </w:tcPr>
          <w:p w14:paraId="660DBCEC"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vAlign w:val="center"/>
          </w:tcPr>
          <w:p w14:paraId="381598B4" w14:textId="1B77794F" w:rsidR="00172304" w:rsidRPr="00063FDC" w:rsidRDefault="00172304" w:rsidP="00F05C35">
            <w:pPr>
              <w:ind w:firstLine="767"/>
              <w:jc w:val="both"/>
              <w:rPr>
                <w:bCs/>
                <w:color w:val="000000" w:themeColor="text1"/>
                <w:sz w:val="24"/>
                <w:szCs w:val="24"/>
              </w:rPr>
            </w:pPr>
            <w:r w:rsidRPr="00063FDC">
              <w:rPr>
                <w:bCs/>
                <w:color w:val="000000" w:themeColor="text1"/>
                <w:sz w:val="24"/>
                <w:szCs w:val="24"/>
              </w:rPr>
              <w:t>При возникновении признаков обесценения справедливая стоимость д</w:t>
            </w:r>
            <w:r w:rsidRPr="00063FDC">
              <w:rPr>
                <w:bCs/>
                <w:color w:val="000000" w:themeColor="text1"/>
                <w:sz w:val="24"/>
                <w:szCs w:val="24"/>
                <w:lang w:eastAsia="ru-RU"/>
              </w:rPr>
              <w:t>енежных средств во вкладах</w:t>
            </w:r>
            <w:r w:rsidRPr="00063FDC">
              <w:rPr>
                <w:bCs/>
                <w:color w:val="000000" w:themeColor="text1"/>
                <w:sz w:val="24"/>
                <w:szCs w:val="24"/>
              </w:rPr>
              <w:t xml:space="preserve">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441A0775"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17766BB7" w14:textId="369044C7" w:rsidR="00172304" w:rsidRPr="00063FDC" w:rsidRDefault="00172304" w:rsidP="00172304">
      <w:pPr>
        <w:suppressAutoHyphens w:val="0"/>
        <w:autoSpaceDE/>
        <w:spacing w:after="160" w:line="259" w:lineRule="auto"/>
        <w:jc w:val="right"/>
        <w:rPr>
          <w:b/>
          <w:color w:val="000000" w:themeColor="text1"/>
          <w:sz w:val="24"/>
          <w:szCs w:val="24"/>
          <w:lang w:eastAsia="ru-RU"/>
        </w:rPr>
      </w:pPr>
      <w:r w:rsidRPr="00063FDC">
        <w:rPr>
          <w:b/>
          <w:color w:val="000000" w:themeColor="text1"/>
          <w:sz w:val="24"/>
          <w:szCs w:val="24"/>
          <w:lang w:eastAsia="ru-RU"/>
        </w:rPr>
        <w:t xml:space="preserve">Приложение </w:t>
      </w:r>
      <w:r w:rsidR="009C12C5" w:rsidRPr="00063FDC">
        <w:rPr>
          <w:b/>
          <w:color w:val="000000" w:themeColor="text1"/>
          <w:sz w:val="24"/>
          <w:szCs w:val="24"/>
          <w:lang w:eastAsia="ru-RU"/>
        </w:rPr>
        <w:t>3</w:t>
      </w:r>
    </w:p>
    <w:p w14:paraId="350EFD29" w14:textId="77777777" w:rsidR="00172304" w:rsidRPr="00063FDC" w:rsidRDefault="00172304" w:rsidP="00172304">
      <w:pPr>
        <w:autoSpaceDN w:val="0"/>
        <w:adjustRightInd w:val="0"/>
        <w:ind w:firstLine="709"/>
        <w:jc w:val="center"/>
        <w:rPr>
          <w:b/>
          <w:bCs/>
          <w:color w:val="000000" w:themeColor="text1"/>
          <w:sz w:val="24"/>
          <w:szCs w:val="24"/>
          <w:lang w:eastAsia="ru-RU"/>
        </w:rPr>
      </w:pPr>
      <w:r w:rsidRPr="00063FDC">
        <w:rPr>
          <w:b/>
          <w:bCs/>
          <w:color w:val="000000" w:themeColor="text1"/>
          <w:sz w:val="24"/>
          <w:szCs w:val="24"/>
          <w:lang w:eastAsia="ru-RU"/>
        </w:rPr>
        <w:t>ДЕБИТОРСКАЯ ЗАДОЛЖЕННОСТЬ ПО ПРОЦЕНТНОМУ ДОХОДУ ПО ДЕНЕЖНЫМ СРЕДСТВАМ НА СЧЕТАХ (ВКЛЮЧАЯ МНО).</w:t>
      </w:r>
    </w:p>
    <w:p w14:paraId="1B12D1C8" w14:textId="77777777" w:rsidR="00172304" w:rsidRPr="00063FDC" w:rsidRDefault="00172304" w:rsidP="00172304">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2C32D6DD" w14:textId="77777777" w:rsidTr="00190E33">
        <w:trPr>
          <w:trHeight w:val="430"/>
        </w:trPr>
        <w:tc>
          <w:tcPr>
            <w:tcW w:w="1060" w:type="pct"/>
            <w:shd w:val="clear" w:color="auto" w:fill="A6A6A6" w:themeFill="background1" w:themeFillShade="A6"/>
            <w:vAlign w:val="center"/>
          </w:tcPr>
          <w:p w14:paraId="3C06AED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676F1984" w14:textId="77777777" w:rsidR="00172304" w:rsidRPr="00063FDC" w:rsidRDefault="00172304" w:rsidP="00190E33">
            <w:pPr>
              <w:autoSpaceDN w:val="0"/>
              <w:adjustRightInd w:val="0"/>
              <w:ind w:firstLine="625"/>
              <w:jc w:val="both"/>
              <w:rPr>
                <w:iCs/>
                <w:color w:val="000000" w:themeColor="text1"/>
                <w:sz w:val="24"/>
                <w:szCs w:val="24"/>
                <w:lang w:eastAsia="ru-RU"/>
              </w:rPr>
            </w:pPr>
            <w:r w:rsidRPr="00063FDC">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063FDC">
              <w:rPr>
                <w:b/>
                <w:color w:val="000000" w:themeColor="text1"/>
                <w:sz w:val="24"/>
                <w:szCs w:val="24"/>
                <w:lang w:eastAsia="ru-RU"/>
              </w:rPr>
              <w:t>в случае если заключено соглашение с банком о минимальном неснижаемом остатке (МНО)</w:t>
            </w:r>
            <w:r w:rsidRPr="00063FDC">
              <w:rPr>
                <w:color w:val="000000" w:themeColor="text1"/>
                <w:sz w:val="24"/>
                <w:szCs w:val="24"/>
                <w:lang w:eastAsia="ru-RU"/>
              </w:rPr>
              <w:t xml:space="preserve"> денежных средств на расчетных счетах.</w:t>
            </w:r>
          </w:p>
        </w:tc>
      </w:tr>
      <w:tr w:rsidR="00172304" w:rsidRPr="00063FDC" w14:paraId="790F495B" w14:textId="77777777" w:rsidTr="00190E33">
        <w:trPr>
          <w:trHeight w:val="853"/>
        </w:trPr>
        <w:tc>
          <w:tcPr>
            <w:tcW w:w="1060" w:type="pct"/>
            <w:shd w:val="clear" w:color="auto" w:fill="A6A6A6" w:themeFill="background1" w:themeFillShade="A6"/>
            <w:vAlign w:val="center"/>
          </w:tcPr>
          <w:p w14:paraId="3569A411"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30C7FA77" w14:textId="2BB45020"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Проценты </w:t>
            </w:r>
            <w:r w:rsidRPr="00063FDC">
              <w:rPr>
                <w:color w:val="000000" w:themeColor="text1"/>
                <w:sz w:val="24"/>
                <w:szCs w:val="24"/>
                <w:lang w:eastAsia="ru-RU"/>
              </w:rPr>
              <w:t xml:space="preserve">на </w:t>
            </w:r>
            <w:r w:rsidRPr="00063FDC">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02E07C5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172304" w:rsidRPr="00063FDC" w14:paraId="49D6E161"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7E1EE5" w14:textId="77777777" w:rsidR="00172304" w:rsidRPr="00063FDC" w:rsidRDefault="00172304" w:rsidP="00190E33">
            <w:pPr>
              <w:pStyle w:val="-0"/>
              <w:suppressAutoHyphens/>
              <w:autoSpaceDE w:val="0"/>
              <w:jc w:val="both"/>
              <w:rPr>
                <w:i/>
                <w:color w:val="000000" w:themeColor="text1"/>
                <w:sz w:val="24"/>
                <w:szCs w:val="24"/>
              </w:rPr>
            </w:pPr>
            <w:r w:rsidRPr="00063FDC">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33742B42"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0AAC4451"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0DC599E4"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70AD77B9"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172304" w:rsidRPr="00063FDC" w14:paraId="6E7EB7F9"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9112B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7F88C7F4"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Дебиторская задолженность является операционной с даты начисления по дату выплаты процентов в соответствии с условиями договора банковского счета/соглашения о МНО в отсутвие иных признаков обесценения. В течение этого срока её справедливая стоимость равняется сумме начисленных согласно условиям договора/соглашения о МНО процентов (в случае, если условия начисления процентов позволяют рассчитать их размер на дату определения СЧА). </w:t>
            </w:r>
          </w:p>
          <w:p w14:paraId="3D6BE00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w:t>
            </w:r>
          </w:p>
        </w:tc>
      </w:tr>
      <w:tr w:rsidR="00172304" w:rsidRPr="00063FDC" w14:paraId="4857DEA6"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64AB38"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7093C37" w14:textId="3CE47A47" w:rsidR="00172304" w:rsidRPr="00063FDC" w:rsidRDefault="00172304" w:rsidP="00F05C35">
            <w:pPr>
              <w:autoSpaceDN w:val="0"/>
              <w:adjustRightInd w:val="0"/>
              <w:ind w:firstLine="625"/>
              <w:jc w:val="both"/>
              <w:rPr>
                <w:bCs/>
                <w:color w:val="000000" w:themeColor="text1"/>
                <w:sz w:val="24"/>
                <w:szCs w:val="24"/>
              </w:rPr>
            </w:pPr>
            <w:r w:rsidRPr="00063FDC">
              <w:rPr>
                <w:bCs/>
                <w:color w:val="000000" w:themeColor="text1"/>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6E0569E2"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60BBEC4D" w14:textId="77777777"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color w:val="000000" w:themeColor="text1"/>
          <w:sz w:val="24"/>
          <w:szCs w:val="24"/>
          <w:lang w:eastAsia="ru-RU"/>
        </w:rPr>
        <w:br w:type="page"/>
      </w:r>
    </w:p>
    <w:p w14:paraId="246520B6" w14:textId="175DBFC2"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b/>
          <w:color w:val="000000" w:themeColor="text1"/>
          <w:sz w:val="24"/>
          <w:szCs w:val="24"/>
          <w:lang w:eastAsia="ru-RU"/>
        </w:rPr>
        <w:t xml:space="preserve">Приложение </w:t>
      </w:r>
      <w:r w:rsidR="009C12C5" w:rsidRPr="00063FDC">
        <w:rPr>
          <w:b/>
          <w:color w:val="000000" w:themeColor="text1"/>
          <w:sz w:val="24"/>
          <w:szCs w:val="24"/>
          <w:lang w:eastAsia="ru-RU"/>
        </w:rPr>
        <w:t>4</w:t>
      </w:r>
    </w:p>
    <w:p w14:paraId="56A4BEAE"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ПРОЧАЯ ДЕБИТОРСКАЯ ЗАДОЛЖЕННОСТЬ</w:t>
      </w:r>
    </w:p>
    <w:p w14:paraId="09340DE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p>
    <w:tbl>
      <w:tblPr>
        <w:tblW w:w="9613" w:type="dxa"/>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2242"/>
        <w:gridCol w:w="7371"/>
      </w:tblGrid>
      <w:tr w:rsidR="00172304" w:rsidRPr="00063FDC" w14:paraId="29C9D867" w14:textId="77777777" w:rsidTr="00190E33">
        <w:trPr>
          <w:trHeight w:val="363"/>
        </w:trPr>
        <w:tc>
          <w:tcPr>
            <w:tcW w:w="2242" w:type="dxa"/>
            <w:shd w:val="clear" w:color="auto" w:fill="A6A6A6"/>
          </w:tcPr>
          <w:p w14:paraId="2D051D19"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Виды активов</w:t>
            </w:r>
          </w:p>
        </w:tc>
        <w:tc>
          <w:tcPr>
            <w:tcW w:w="7371" w:type="dxa"/>
          </w:tcPr>
          <w:p w14:paraId="383A0FF0"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6824B72" w14:textId="77777777" w:rsidR="00172304" w:rsidRPr="00063FDC" w:rsidRDefault="00172304" w:rsidP="00190E33">
            <w:pPr>
              <w:pStyle w:val="a8"/>
              <w:ind w:left="318"/>
              <w:jc w:val="both"/>
              <w:rPr>
                <w:bCs/>
                <w:color w:val="000000" w:themeColor="text1"/>
                <w:sz w:val="24"/>
                <w:szCs w:val="24"/>
                <w:lang w:eastAsia="ru-RU"/>
              </w:rPr>
            </w:pPr>
          </w:p>
          <w:p w14:paraId="6F95256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7C9148C"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Авансы, выданные по сделкам за счет имущества ПИФ;</w:t>
            </w:r>
          </w:p>
          <w:p w14:paraId="08260BD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управляющей компании перед ПИФ;</w:t>
            </w:r>
          </w:p>
          <w:p w14:paraId="369FF2F2"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3137F33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по налогам, сборам, пошлинам в бюджеты всех уровней;</w:t>
            </w:r>
          </w:p>
          <w:p w14:paraId="4A7AAC38"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возмещению суммы налогов из бюджета РФ;</w:t>
            </w:r>
          </w:p>
          <w:p w14:paraId="5F2DCA5E"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аренде</w:t>
            </w:r>
            <w:r w:rsidRPr="00063FDC">
              <w:rPr>
                <w:bCs/>
                <w:color w:val="000000" w:themeColor="text1"/>
                <w:sz w:val="24"/>
                <w:szCs w:val="24"/>
                <w:lang w:val="en-US" w:eastAsia="ru-RU"/>
              </w:rPr>
              <w:t>;</w:t>
            </w:r>
          </w:p>
          <w:p w14:paraId="7AB952CF"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в результате перевода денежных средств («деньги в пути»);</w:t>
            </w:r>
          </w:p>
          <w:p w14:paraId="32AAC729"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Дебиторская задолженность, возникшая в результате отзыва лицензии у банка или брокера;</w:t>
            </w:r>
          </w:p>
          <w:p w14:paraId="5CA74264"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Иная дебиторская задолженность.</w:t>
            </w:r>
          </w:p>
          <w:p w14:paraId="17AACFA5" w14:textId="77777777" w:rsidR="00172304" w:rsidRPr="00063FDC" w:rsidRDefault="00172304" w:rsidP="00190E33">
            <w:pPr>
              <w:pStyle w:val="a8"/>
              <w:ind w:left="318"/>
              <w:jc w:val="both"/>
              <w:rPr>
                <w:iCs/>
                <w:color w:val="000000" w:themeColor="text1"/>
                <w:sz w:val="24"/>
                <w:szCs w:val="24"/>
                <w:lang w:eastAsia="ru-RU"/>
              </w:rPr>
            </w:pPr>
          </w:p>
          <w:p w14:paraId="0EECB434" w14:textId="77777777" w:rsidR="00172304" w:rsidRPr="00063FDC" w:rsidRDefault="00172304" w:rsidP="00190E33">
            <w:pPr>
              <w:pStyle w:val="a8"/>
              <w:ind w:left="318"/>
              <w:jc w:val="both"/>
              <w:rPr>
                <w:iCs/>
                <w:color w:val="000000" w:themeColor="text1"/>
                <w:sz w:val="24"/>
                <w:szCs w:val="24"/>
                <w:lang w:eastAsia="ru-RU"/>
              </w:rPr>
            </w:pPr>
          </w:p>
        </w:tc>
      </w:tr>
      <w:tr w:rsidR="00172304" w:rsidRPr="00063FDC" w14:paraId="4334B9D1" w14:textId="77777777" w:rsidTr="00190E33">
        <w:trPr>
          <w:trHeight w:val="595"/>
        </w:trPr>
        <w:tc>
          <w:tcPr>
            <w:tcW w:w="2242" w:type="dxa"/>
            <w:shd w:val="clear" w:color="auto" w:fill="A6A6A6"/>
          </w:tcPr>
          <w:p w14:paraId="3F7FB305"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Критерии признания</w:t>
            </w:r>
          </w:p>
        </w:tc>
        <w:tc>
          <w:tcPr>
            <w:tcW w:w="7371" w:type="dxa"/>
          </w:tcPr>
          <w:p w14:paraId="2103AB39"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дебиторской задолженности по возмещению суммы налогов из бюджета РФ</w:t>
            </w:r>
            <w:r w:rsidRPr="00063FDC">
              <w:rPr>
                <w:bCs/>
                <w:color w:val="000000" w:themeColor="text1"/>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4CC6C78" w14:textId="77777777" w:rsidR="00172304" w:rsidRPr="00063FDC" w:rsidRDefault="00172304" w:rsidP="00190E33">
            <w:pPr>
              <w:pStyle w:val="a8"/>
              <w:ind w:left="301"/>
              <w:jc w:val="both"/>
              <w:rPr>
                <w:b/>
                <w:color w:val="000000" w:themeColor="text1"/>
                <w:sz w:val="24"/>
                <w:szCs w:val="24"/>
              </w:rPr>
            </w:pPr>
          </w:p>
          <w:p w14:paraId="516A0B5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bCs/>
                <w:color w:val="000000" w:themeColor="text1"/>
                <w:sz w:val="24"/>
                <w:szCs w:val="24"/>
                <w:lang w:eastAsia="ru-RU"/>
              </w:rPr>
              <w:t xml:space="preserve">Дебиторская задолженность по налогам, сборам, пошлинам в бюджеты всех уровней </w:t>
            </w:r>
            <w:r w:rsidRPr="00063FDC">
              <w:rPr>
                <w:bCs/>
                <w:color w:val="000000" w:themeColor="text1"/>
                <w:sz w:val="24"/>
                <w:szCs w:val="24"/>
                <w:lang w:eastAsia="ru-RU"/>
              </w:rPr>
              <w:t>– дата возникновения основания для возмещения налогов, сборов, пошлин из бюджета</w:t>
            </w:r>
          </w:p>
          <w:p w14:paraId="6C42CB78" w14:textId="77777777" w:rsidR="00172304" w:rsidRPr="00063FDC" w:rsidRDefault="00172304" w:rsidP="00190E33">
            <w:pPr>
              <w:pStyle w:val="a8"/>
              <w:ind w:left="301"/>
              <w:jc w:val="both"/>
              <w:rPr>
                <w:color w:val="000000" w:themeColor="text1"/>
                <w:sz w:val="24"/>
                <w:szCs w:val="24"/>
              </w:rPr>
            </w:pPr>
          </w:p>
          <w:p w14:paraId="5984AEE2"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w:t>
            </w:r>
            <w:r w:rsidRPr="00063FDC">
              <w:rPr>
                <w:b/>
                <w:bCs/>
                <w:color w:val="000000" w:themeColor="text1"/>
                <w:sz w:val="24"/>
                <w:szCs w:val="24"/>
                <w:lang w:eastAsia="ru-RU"/>
              </w:rPr>
              <w:t xml:space="preserve">ебиторской задолженности управляющей компании перед ПИФ – </w:t>
            </w:r>
            <w:r w:rsidRPr="00063FDC">
              <w:rPr>
                <w:bCs/>
                <w:color w:val="000000" w:themeColor="text1"/>
                <w:sz w:val="24"/>
                <w:szCs w:val="24"/>
                <w:lang w:eastAsia="ru-RU"/>
              </w:rPr>
              <w:t>установленный</w:t>
            </w:r>
            <w:r w:rsidRPr="00063FDC">
              <w:rPr>
                <w:b/>
                <w:bCs/>
                <w:color w:val="000000" w:themeColor="text1"/>
                <w:sz w:val="24"/>
                <w:szCs w:val="24"/>
                <w:lang w:eastAsia="ru-RU"/>
              </w:rPr>
              <w:t xml:space="preserve"> </w:t>
            </w:r>
            <w:r w:rsidRPr="00063FDC">
              <w:rPr>
                <w:bCs/>
                <w:color w:val="000000" w:themeColor="text1"/>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5235EA58" w14:textId="77777777" w:rsidR="00172304" w:rsidRPr="00063FDC" w:rsidRDefault="00172304" w:rsidP="00190E33">
            <w:pPr>
              <w:pStyle w:val="a8"/>
              <w:ind w:left="301"/>
              <w:jc w:val="both"/>
              <w:rPr>
                <w:b/>
                <w:color w:val="000000" w:themeColor="text1"/>
                <w:sz w:val="24"/>
                <w:szCs w:val="24"/>
              </w:rPr>
            </w:pPr>
          </w:p>
          <w:p w14:paraId="796C0E6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 xml:space="preserve">Для </w:t>
            </w:r>
            <w:r w:rsidRPr="00063FDC">
              <w:rPr>
                <w:b/>
                <w:bCs/>
                <w:color w:val="000000" w:themeColor="text1"/>
                <w:sz w:val="24"/>
                <w:szCs w:val="24"/>
                <w:lang w:eastAsia="ru-RU"/>
              </w:rPr>
              <w:t>дебиторской задолженности, возникшей в результате перевода денежных средств –</w:t>
            </w:r>
            <w:r w:rsidRPr="00063FDC">
              <w:rPr>
                <w:bCs/>
                <w:color w:val="000000" w:themeColor="text1"/>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41727158" w14:textId="77777777" w:rsidR="00172304" w:rsidRPr="00063FDC" w:rsidRDefault="00172304" w:rsidP="00190E33">
            <w:pPr>
              <w:pStyle w:val="a8"/>
              <w:rPr>
                <w:b/>
                <w:color w:val="000000" w:themeColor="text1"/>
                <w:sz w:val="24"/>
                <w:szCs w:val="24"/>
              </w:rPr>
            </w:pPr>
          </w:p>
          <w:p w14:paraId="5E731FA6"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дебиторской задолженности по аренде</w:t>
            </w:r>
            <w:r w:rsidRPr="00063FDC">
              <w:rPr>
                <w:color w:val="000000" w:themeColor="text1"/>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0192059D" w14:textId="77777777" w:rsidR="00172304" w:rsidRPr="00063FDC" w:rsidRDefault="00172304" w:rsidP="00190E33">
            <w:pPr>
              <w:pStyle w:val="a8"/>
              <w:rPr>
                <w:b/>
                <w:color w:val="000000" w:themeColor="text1"/>
                <w:sz w:val="24"/>
                <w:szCs w:val="24"/>
              </w:rPr>
            </w:pPr>
          </w:p>
          <w:p w14:paraId="59EE1780"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iCs/>
                <w:color w:val="000000" w:themeColor="text1"/>
                <w:sz w:val="24"/>
                <w:szCs w:val="24"/>
                <w:lang w:eastAsia="ru-RU"/>
              </w:rPr>
              <w:t>Для дебиторской задолженности, возникшей в результате отзыва лицензии у банка или брокера</w:t>
            </w:r>
            <w:r w:rsidRPr="00063FDC">
              <w:rPr>
                <w:iCs/>
                <w:color w:val="000000" w:themeColor="text1"/>
                <w:sz w:val="24"/>
                <w:szCs w:val="24"/>
                <w:lang w:eastAsia="ru-RU"/>
              </w:rPr>
              <w:t xml:space="preserve"> – дата отзыва лицензии банка, брокера.</w:t>
            </w:r>
          </w:p>
          <w:p w14:paraId="1E085D93" w14:textId="77777777" w:rsidR="00172304" w:rsidRPr="00063FDC" w:rsidRDefault="00172304" w:rsidP="00190E33">
            <w:pPr>
              <w:pStyle w:val="a8"/>
              <w:rPr>
                <w:b/>
                <w:color w:val="000000" w:themeColor="text1"/>
                <w:sz w:val="24"/>
                <w:szCs w:val="24"/>
              </w:rPr>
            </w:pPr>
          </w:p>
          <w:p w14:paraId="41FA87B3"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остальных видов прочей дебиторской задолженности</w:t>
            </w:r>
            <w:r w:rsidRPr="00063FDC">
              <w:rPr>
                <w:bCs/>
                <w:color w:val="000000" w:themeColor="text1"/>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172304" w:rsidRPr="00063FDC" w14:paraId="464E057F" w14:textId="77777777" w:rsidTr="00190E33">
        <w:trPr>
          <w:trHeight w:val="845"/>
        </w:trPr>
        <w:tc>
          <w:tcPr>
            <w:tcW w:w="2242" w:type="dxa"/>
            <w:shd w:val="clear" w:color="auto" w:fill="A6A6A6"/>
          </w:tcPr>
          <w:p w14:paraId="58C94DF5"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Критерии прекращения признания</w:t>
            </w:r>
          </w:p>
        </w:tc>
        <w:tc>
          <w:tcPr>
            <w:tcW w:w="7371" w:type="dxa"/>
          </w:tcPr>
          <w:p w14:paraId="3DC09156"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дебиторской задолженности по возмещению суммы налогов из бюджета РФ:</w:t>
            </w:r>
          </w:p>
          <w:p w14:paraId="1F946836"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1B6E9C89"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7D780118" w14:textId="77777777" w:rsidR="00172304" w:rsidRPr="00063FDC" w:rsidRDefault="00172304" w:rsidP="00190E33">
            <w:pPr>
              <w:pStyle w:val="a8"/>
              <w:ind w:left="284"/>
              <w:jc w:val="both"/>
              <w:rPr>
                <w:bCs/>
                <w:color w:val="000000" w:themeColor="text1"/>
                <w:sz w:val="24"/>
                <w:szCs w:val="24"/>
                <w:lang w:eastAsia="ru-RU"/>
              </w:rPr>
            </w:pPr>
          </w:p>
          <w:p w14:paraId="7FCEE0F0" w14:textId="77777777" w:rsidR="00172304" w:rsidRPr="00063FDC" w:rsidRDefault="00172304" w:rsidP="00C8239C">
            <w:pPr>
              <w:pStyle w:val="a8"/>
              <w:numPr>
                <w:ilvl w:val="0"/>
                <w:numId w:val="16"/>
              </w:numPr>
              <w:suppressAutoHyphens w:val="0"/>
              <w:autoSpaceDE/>
              <w:ind w:left="317" w:hanging="283"/>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по налогам, сборам, пошлинам в бюджеты всех уровней:</w:t>
            </w:r>
          </w:p>
          <w:p w14:paraId="3E9854B1" w14:textId="77777777" w:rsidR="00172304" w:rsidRPr="00063FDC" w:rsidRDefault="00172304" w:rsidP="00190E33">
            <w:pPr>
              <w:ind w:left="317"/>
              <w:jc w:val="both"/>
              <w:rPr>
                <w:bCs/>
                <w:color w:val="000000" w:themeColor="text1"/>
                <w:sz w:val="24"/>
                <w:szCs w:val="24"/>
                <w:lang w:eastAsia="ru-RU"/>
              </w:rPr>
            </w:pPr>
            <w:r w:rsidRPr="00063FDC">
              <w:rPr>
                <w:bCs/>
                <w:color w:val="000000" w:themeColor="text1"/>
                <w:sz w:val="24"/>
                <w:szCs w:val="24"/>
                <w:lang w:eastAsia="ru-RU"/>
              </w:rPr>
              <w:t>- дата получения возмещения из бюджета полной суммы задолженности соответствующего налога, сбора, пошлины;</w:t>
            </w:r>
          </w:p>
          <w:p w14:paraId="74F5EDBA"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решения об отказе в осуществлении зачета (возврата) сумм излишне уплаченного налога, сбора, пошлины;</w:t>
            </w:r>
          </w:p>
          <w:p w14:paraId="19ADFA33"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4264334B" w14:textId="77777777" w:rsidR="00172304" w:rsidRPr="00063FDC" w:rsidRDefault="00172304" w:rsidP="00190E33">
            <w:pPr>
              <w:ind w:left="317"/>
              <w:jc w:val="both"/>
              <w:rPr>
                <w:bCs/>
                <w:color w:val="000000" w:themeColor="text1"/>
                <w:sz w:val="24"/>
                <w:szCs w:val="24"/>
                <w:lang w:eastAsia="ru-RU"/>
              </w:rPr>
            </w:pPr>
          </w:p>
          <w:p w14:paraId="1910AA00" w14:textId="77777777" w:rsidR="00172304" w:rsidRPr="00063FDC" w:rsidRDefault="00172304" w:rsidP="00190E33">
            <w:pPr>
              <w:pStyle w:val="a8"/>
              <w:ind w:left="284"/>
              <w:jc w:val="both"/>
              <w:rPr>
                <w:bCs/>
                <w:color w:val="000000" w:themeColor="text1"/>
                <w:sz w:val="24"/>
                <w:szCs w:val="24"/>
                <w:lang w:eastAsia="ru-RU"/>
              </w:rPr>
            </w:pPr>
          </w:p>
          <w:p w14:paraId="2F568F1A"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остальных видов прочей дебиторской задолженности:</w:t>
            </w:r>
          </w:p>
          <w:p w14:paraId="26BCAEC4"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исполнения обязательств перед ПИФ согласно договору;</w:t>
            </w:r>
          </w:p>
          <w:p w14:paraId="2F895245"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4225FC54" w14:textId="77777777" w:rsidR="00172304" w:rsidRPr="00063FDC" w:rsidRDefault="00172304" w:rsidP="00190E33">
            <w:pPr>
              <w:pStyle w:val="a8"/>
              <w:ind w:left="317"/>
              <w:jc w:val="both"/>
              <w:rPr>
                <w:color w:val="000000" w:themeColor="text1"/>
                <w:sz w:val="24"/>
                <w:szCs w:val="24"/>
                <w:lang w:eastAsia="ru-RU"/>
              </w:rPr>
            </w:pPr>
            <w:r w:rsidRPr="00063FDC">
              <w:rPr>
                <w:color w:val="000000" w:themeColor="text1"/>
                <w:sz w:val="24"/>
                <w:szCs w:val="24"/>
                <w:lang w:eastAsia="ru-RU"/>
              </w:rPr>
              <w:t xml:space="preserve"> </w:t>
            </w:r>
          </w:p>
        </w:tc>
      </w:tr>
      <w:tr w:rsidR="00172304" w:rsidRPr="00063FDC" w14:paraId="3FD4719F" w14:textId="77777777" w:rsidTr="00190E33">
        <w:tc>
          <w:tcPr>
            <w:tcW w:w="2242" w:type="dxa"/>
            <w:shd w:val="clear" w:color="auto" w:fill="A6A6A6"/>
          </w:tcPr>
          <w:p w14:paraId="3A35B0F4"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Критерии и сроки квалификации дебиторской задолженности как   операционной</w:t>
            </w:r>
          </w:p>
          <w:p w14:paraId="38D255FC" w14:textId="77777777" w:rsidR="00172304" w:rsidRPr="00063FDC" w:rsidRDefault="00172304" w:rsidP="00190E33">
            <w:pPr>
              <w:pStyle w:val="-0"/>
              <w:jc w:val="both"/>
              <w:rPr>
                <w:rFonts w:eastAsia="Calibri"/>
                <w:bCs w:val="0"/>
                <w:color w:val="000000" w:themeColor="text1"/>
                <w:sz w:val="24"/>
                <w:szCs w:val="24"/>
                <w:lang w:eastAsia="en-US"/>
              </w:rPr>
            </w:pPr>
          </w:p>
        </w:tc>
        <w:tc>
          <w:tcPr>
            <w:tcW w:w="7371" w:type="dxa"/>
          </w:tcPr>
          <w:p w14:paraId="78397A1D" w14:textId="77777777" w:rsidR="00172304" w:rsidRPr="00063FDC" w:rsidRDefault="00172304" w:rsidP="00190E33">
            <w:pPr>
              <w:pStyle w:val="a8"/>
              <w:ind w:left="317"/>
              <w:jc w:val="both"/>
              <w:rPr>
                <w:bCs/>
                <w:color w:val="000000" w:themeColor="text1"/>
                <w:sz w:val="24"/>
                <w:szCs w:val="24"/>
                <w:lang w:eastAsia="ru-RU"/>
              </w:rPr>
            </w:pPr>
            <w:r w:rsidRPr="00063FDC">
              <w:rPr>
                <w:bCs/>
                <w:color w:val="000000" w:themeColor="text1"/>
                <w:sz w:val="24"/>
                <w:szCs w:val="24"/>
                <w:lang w:eastAsia="ru-RU"/>
              </w:rPr>
              <w:t>В отсутствие признаков обесценения:</w:t>
            </w:r>
          </w:p>
          <w:p w14:paraId="500E9502" w14:textId="77777777" w:rsidR="00172304" w:rsidRPr="00063FDC" w:rsidRDefault="00172304" w:rsidP="00190E33">
            <w:pPr>
              <w:pStyle w:val="a8"/>
              <w:ind w:left="317"/>
              <w:jc w:val="both"/>
              <w:rPr>
                <w:bCs/>
                <w:color w:val="000000" w:themeColor="text1"/>
                <w:sz w:val="24"/>
                <w:szCs w:val="24"/>
                <w:lang w:eastAsia="ru-RU"/>
              </w:rPr>
            </w:pPr>
          </w:p>
          <w:p w14:paraId="5A774BE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совершения сделок с имуществом ПИФ</w:t>
            </w:r>
            <w:r w:rsidRPr="00063FDC">
              <w:rPr>
                <w:bCs/>
                <w:color w:val="000000" w:themeColor="text1"/>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2DA80FD9" w14:textId="77777777" w:rsidR="00172304" w:rsidRPr="00063FDC" w:rsidRDefault="00172304" w:rsidP="00190E33">
            <w:pPr>
              <w:pStyle w:val="a8"/>
              <w:ind w:left="318"/>
              <w:jc w:val="both"/>
              <w:rPr>
                <w:bCs/>
                <w:color w:val="000000" w:themeColor="text1"/>
                <w:sz w:val="24"/>
                <w:szCs w:val="24"/>
                <w:lang w:eastAsia="ru-RU"/>
              </w:rPr>
            </w:pPr>
          </w:p>
          <w:p w14:paraId="2374C862" w14:textId="77777777" w:rsidR="00172304" w:rsidRPr="00063FDC" w:rsidRDefault="00172304" w:rsidP="00190E33">
            <w:pPr>
              <w:ind w:left="34"/>
              <w:jc w:val="both"/>
              <w:rPr>
                <w:bCs/>
                <w:color w:val="000000" w:themeColor="text1"/>
                <w:sz w:val="24"/>
                <w:szCs w:val="24"/>
                <w:lang w:eastAsia="ru-RU"/>
              </w:rPr>
            </w:pPr>
          </w:p>
          <w:p w14:paraId="5238153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Авансы, выданные по сделкам</w:t>
            </w:r>
            <w:r w:rsidRPr="00063FDC">
              <w:rPr>
                <w:bCs/>
                <w:color w:val="000000" w:themeColor="text1"/>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C91DE7A" w14:textId="77777777" w:rsidR="00172304" w:rsidRPr="00063FDC" w:rsidRDefault="00172304" w:rsidP="00190E33">
            <w:pPr>
              <w:pStyle w:val="a8"/>
              <w:rPr>
                <w:bCs/>
                <w:color w:val="000000" w:themeColor="text1"/>
                <w:sz w:val="24"/>
                <w:szCs w:val="24"/>
                <w:lang w:eastAsia="ru-RU"/>
              </w:rPr>
            </w:pPr>
          </w:p>
          <w:p w14:paraId="1310DAD2" w14:textId="77777777" w:rsidR="00172304" w:rsidRPr="00063FDC" w:rsidRDefault="00172304" w:rsidP="00C8239C">
            <w:pPr>
              <w:pStyle w:val="a8"/>
              <w:numPr>
                <w:ilvl w:val="0"/>
                <w:numId w:val="14"/>
              </w:numPr>
              <w:suppressAutoHyphens w:val="0"/>
              <w:autoSpaceDE/>
              <w:spacing w:after="200" w:line="276" w:lineRule="auto"/>
              <w:ind w:left="317"/>
              <w:jc w:val="both"/>
              <w:rPr>
                <w:color w:val="000000" w:themeColor="text1"/>
                <w:sz w:val="24"/>
                <w:szCs w:val="24"/>
              </w:rPr>
            </w:pPr>
            <w:r w:rsidRPr="00063FDC">
              <w:rPr>
                <w:b/>
                <w:bCs/>
                <w:color w:val="000000" w:themeColor="text1"/>
                <w:sz w:val="24"/>
                <w:szCs w:val="24"/>
                <w:lang w:eastAsia="ru-RU"/>
              </w:rPr>
              <w:t>Дебиторская задолженность управляющей компании перед ПИФ</w:t>
            </w:r>
            <w:r w:rsidRPr="00063FDC">
              <w:rPr>
                <w:bCs/>
                <w:color w:val="000000" w:themeColor="text1"/>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08A75E5E" w14:textId="77777777" w:rsidR="00172304" w:rsidRPr="00063FDC" w:rsidRDefault="00172304" w:rsidP="00190E33">
            <w:pPr>
              <w:pStyle w:val="a8"/>
              <w:rPr>
                <w:bCs/>
                <w:color w:val="000000" w:themeColor="text1"/>
                <w:sz w:val="24"/>
                <w:szCs w:val="24"/>
                <w:lang w:eastAsia="ru-RU"/>
              </w:rPr>
            </w:pPr>
          </w:p>
          <w:p w14:paraId="17DBF8D8"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063FDC">
              <w:rPr>
                <w:bCs/>
                <w:color w:val="000000" w:themeColor="text1"/>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CE62EE3" w14:textId="77777777" w:rsidR="00172304" w:rsidRPr="00063FDC" w:rsidRDefault="00172304" w:rsidP="00190E33">
            <w:pPr>
              <w:pStyle w:val="a8"/>
              <w:rPr>
                <w:iCs/>
                <w:color w:val="000000" w:themeColor="text1"/>
                <w:sz w:val="24"/>
                <w:szCs w:val="24"/>
                <w:lang w:eastAsia="ru-RU"/>
              </w:rPr>
            </w:pPr>
          </w:p>
          <w:p w14:paraId="55A1B20D" w14:textId="77777777" w:rsidR="00172304" w:rsidRPr="00063FDC" w:rsidRDefault="00172304" w:rsidP="00190E33">
            <w:pPr>
              <w:pStyle w:val="a8"/>
              <w:ind w:left="318"/>
              <w:jc w:val="both"/>
              <w:rPr>
                <w:iCs/>
                <w:color w:val="000000" w:themeColor="text1"/>
                <w:sz w:val="24"/>
                <w:szCs w:val="24"/>
                <w:lang w:eastAsia="ru-RU"/>
              </w:rPr>
            </w:pPr>
          </w:p>
          <w:p w14:paraId="373872AB"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перевода денежных средств («деньги в пути»)</w:t>
            </w:r>
            <w:r w:rsidRPr="00063FDC">
              <w:rPr>
                <w:bCs/>
                <w:color w:val="000000" w:themeColor="text1"/>
                <w:sz w:val="24"/>
                <w:szCs w:val="24"/>
                <w:lang w:eastAsia="ru-RU"/>
              </w:rPr>
              <w:t xml:space="preserve"> – в течение 3 рабочих дней с даты признания такой задолженности.</w:t>
            </w:r>
          </w:p>
          <w:p w14:paraId="0B93CAB6" w14:textId="77777777" w:rsidR="00172304" w:rsidRPr="00063FDC" w:rsidRDefault="00172304" w:rsidP="00190E33">
            <w:pPr>
              <w:ind w:left="318"/>
              <w:jc w:val="both"/>
              <w:rPr>
                <w:bCs/>
                <w:color w:val="000000" w:themeColor="text1"/>
                <w:sz w:val="24"/>
                <w:szCs w:val="24"/>
                <w:lang w:eastAsia="ru-RU"/>
              </w:rPr>
            </w:pPr>
          </w:p>
        </w:tc>
      </w:tr>
      <w:tr w:rsidR="00172304" w:rsidRPr="00063FDC" w14:paraId="5AD797E6" w14:textId="77777777" w:rsidTr="00190E33">
        <w:tc>
          <w:tcPr>
            <w:tcW w:w="2242" w:type="dxa"/>
            <w:shd w:val="clear" w:color="auto" w:fill="A6A6A6"/>
          </w:tcPr>
          <w:p w14:paraId="5417C1DE"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Справедливая стоимость</w:t>
            </w:r>
          </w:p>
        </w:tc>
        <w:tc>
          <w:tcPr>
            <w:tcW w:w="7371" w:type="dxa"/>
          </w:tcPr>
          <w:p w14:paraId="2E754B13"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Справедливая стоимость прочей дебиторской задолженности определяется:</w:t>
            </w:r>
          </w:p>
          <w:p w14:paraId="64CDE12E" w14:textId="77777777" w:rsidR="00172304" w:rsidRPr="00063FDC" w:rsidRDefault="00172304" w:rsidP="00C8239C">
            <w:pPr>
              <w:pStyle w:val="a8"/>
              <w:numPr>
                <w:ilvl w:val="0"/>
                <w:numId w:val="15"/>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в сумме фактического остатка задолженности</w:t>
            </w:r>
            <w:r w:rsidRPr="00063FDC">
              <w:rPr>
                <w:bCs/>
                <w:color w:val="000000" w:themeColor="text1"/>
                <w:sz w:val="24"/>
                <w:szCs w:val="24"/>
                <w:lang w:eastAsia="ru-RU"/>
              </w:rPr>
              <w:t xml:space="preserve"> </w:t>
            </w:r>
            <w:r w:rsidRPr="00063FDC">
              <w:rPr>
                <w:b/>
                <w:bCs/>
                <w:color w:val="000000" w:themeColor="text1"/>
                <w:sz w:val="24"/>
                <w:szCs w:val="24"/>
                <w:lang w:eastAsia="ru-RU"/>
              </w:rPr>
              <w:t>на дату определения справедливой стоимости/дату определения СЧА*:</w:t>
            </w:r>
          </w:p>
          <w:p w14:paraId="4944944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66F9373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для дебиторской задолженности по налогам, сборам, пошлинам в бюджеты всех уровней;</w:t>
            </w:r>
          </w:p>
          <w:p w14:paraId="01C82781" w14:textId="77777777" w:rsidR="00172304" w:rsidRPr="00063FDC" w:rsidRDefault="00172304" w:rsidP="00190E33">
            <w:pPr>
              <w:pStyle w:val="a8"/>
              <w:ind w:left="318"/>
              <w:jc w:val="both"/>
              <w:rPr>
                <w:iCs/>
                <w:color w:val="000000" w:themeColor="text1"/>
                <w:sz w:val="24"/>
                <w:szCs w:val="24"/>
                <w:lang w:eastAsia="ru-RU"/>
              </w:rPr>
            </w:pPr>
            <w:r w:rsidRPr="00063FDC">
              <w:rPr>
                <w:bCs/>
                <w:color w:val="000000" w:themeColor="text1"/>
                <w:sz w:val="24"/>
                <w:szCs w:val="24"/>
                <w:lang w:eastAsia="ru-RU"/>
              </w:rPr>
              <w:t>- для дебиторской задолженности по возмещению суммы налогов из бюджета РФ.</w:t>
            </w:r>
          </w:p>
          <w:p w14:paraId="76A03044" w14:textId="77777777" w:rsidR="00172304" w:rsidRPr="00063FDC" w:rsidRDefault="00172304" w:rsidP="00190E33">
            <w:pPr>
              <w:pStyle w:val="a8"/>
              <w:ind w:left="459" w:hanging="141"/>
              <w:jc w:val="both"/>
              <w:rPr>
                <w:bCs/>
                <w:color w:val="000000" w:themeColor="text1"/>
                <w:sz w:val="24"/>
                <w:szCs w:val="24"/>
                <w:lang w:eastAsia="ru-RU"/>
              </w:rPr>
            </w:pPr>
          </w:p>
          <w:p w14:paraId="7A688794" w14:textId="77777777" w:rsidR="00172304" w:rsidRPr="00063FDC" w:rsidRDefault="00172304" w:rsidP="00190E33">
            <w:pPr>
              <w:jc w:val="both"/>
              <w:rPr>
                <w:bCs/>
                <w:color w:val="000000" w:themeColor="text1"/>
                <w:sz w:val="24"/>
                <w:szCs w:val="24"/>
                <w:lang w:eastAsia="ru-RU"/>
              </w:rPr>
            </w:pPr>
            <w:r w:rsidRPr="00063FDC">
              <w:rPr>
                <w:b/>
                <w:bCs/>
                <w:color w:val="000000" w:themeColor="text1"/>
                <w:sz w:val="24"/>
                <w:szCs w:val="24"/>
                <w:lang w:eastAsia="ru-RU"/>
              </w:rPr>
              <w:t>*</w:t>
            </w:r>
            <w:r w:rsidRPr="00063FDC">
              <w:rPr>
                <w:bCs/>
                <w:color w:val="000000" w:themeColor="text1"/>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063FDC">
              <w:rPr>
                <w:rStyle w:val="afa"/>
                <w:bCs/>
                <w:color w:val="000000" w:themeColor="text1"/>
                <w:sz w:val="24"/>
                <w:szCs w:val="24"/>
                <w:lang w:eastAsia="ru-RU"/>
              </w:rPr>
              <w:footnoteReference w:id="1"/>
            </w:r>
          </w:p>
          <w:p w14:paraId="172638AC" w14:textId="77777777" w:rsidR="00172304" w:rsidRPr="00063FDC" w:rsidRDefault="00172304" w:rsidP="00190E33">
            <w:pPr>
              <w:jc w:val="both"/>
              <w:rPr>
                <w:b/>
                <w:bCs/>
                <w:color w:val="000000" w:themeColor="text1"/>
                <w:sz w:val="24"/>
                <w:szCs w:val="24"/>
                <w:lang w:eastAsia="ru-RU"/>
              </w:rPr>
            </w:pPr>
          </w:p>
          <w:p w14:paraId="3058D45C" w14:textId="7515976F" w:rsidR="00172304" w:rsidRPr="00063FDC" w:rsidRDefault="00172304" w:rsidP="00F05C35">
            <w:pPr>
              <w:pStyle w:val="a8"/>
              <w:numPr>
                <w:ilvl w:val="0"/>
                <w:numId w:val="15"/>
              </w:numPr>
              <w:suppressAutoHyphens w:val="0"/>
              <w:autoSpaceDE/>
              <w:ind w:left="284" w:hanging="250"/>
              <w:jc w:val="both"/>
              <w:rPr>
                <w:bCs/>
                <w:color w:val="000000" w:themeColor="text1"/>
                <w:sz w:val="24"/>
                <w:szCs w:val="24"/>
                <w:lang w:eastAsia="ru-RU"/>
              </w:rPr>
            </w:pPr>
            <w:r w:rsidRPr="00063FDC">
              <w:rPr>
                <w:b/>
                <w:bCs/>
                <w:color w:val="000000" w:themeColor="text1"/>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063FDC">
              <w:rPr>
                <w:bCs/>
                <w:color w:val="000000" w:themeColor="text1"/>
                <w:sz w:val="24"/>
                <w:szCs w:val="24"/>
                <w:lang w:eastAsia="ru-RU"/>
              </w:rPr>
              <w:t xml:space="preserve"> (Приложение </w:t>
            </w:r>
            <w:r w:rsidR="00F05C35" w:rsidRPr="00063FDC">
              <w:rPr>
                <w:bCs/>
                <w:color w:val="000000" w:themeColor="text1"/>
                <w:sz w:val="24"/>
                <w:szCs w:val="24"/>
                <w:lang w:eastAsia="ru-RU"/>
              </w:rPr>
              <w:t>10</w:t>
            </w:r>
            <w:r w:rsidRPr="00063FDC">
              <w:rPr>
                <w:bCs/>
                <w:color w:val="000000" w:themeColor="text1"/>
                <w:sz w:val="24"/>
                <w:szCs w:val="24"/>
                <w:lang w:eastAsia="ru-RU"/>
              </w:rPr>
              <w:t>) во всех иных случаях.</w:t>
            </w:r>
          </w:p>
        </w:tc>
      </w:tr>
      <w:tr w:rsidR="00172304" w:rsidRPr="00063FDC" w14:paraId="11C35AC2" w14:textId="77777777" w:rsidTr="00190E33">
        <w:trPr>
          <w:trHeight w:val="1692"/>
        </w:trPr>
        <w:tc>
          <w:tcPr>
            <w:tcW w:w="2242" w:type="dxa"/>
            <w:shd w:val="clear" w:color="auto" w:fill="A6A6A6"/>
          </w:tcPr>
          <w:p w14:paraId="1BEB4187" w14:textId="77777777" w:rsidR="00172304" w:rsidRPr="00063FDC" w:rsidRDefault="00172304" w:rsidP="00190E33">
            <w:pPr>
              <w:pStyle w:val="-0"/>
              <w:jc w:val="both"/>
              <w:rPr>
                <w:color w:val="000000" w:themeColor="text1"/>
                <w:sz w:val="24"/>
                <w:szCs w:val="24"/>
              </w:rPr>
            </w:pPr>
            <w:r w:rsidRPr="00063FDC">
              <w:rPr>
                <w:rFonts w:eastAsia="Calibri"/>
                <w:bCs w:val="0"/>
                <w:color w:val="000000" w:themeColor="text1"/>
                <w:sz w:val="24"/>
                <w:szCs w:val="24"/>
                <w:lang w:eastAsia="en-US"/>
              </w:rPr>
              <w:t xml:space="preserve">Дата и события, приводящие к обесценению </w:t>
            </w:r>
          </w:p>
        </w:tc>
        <w:tc>
          <w:tcPr>
            <w:tcW w:w="7371" w:type="dxa"/>
          </w:tcPr>
          <w:p w14:paraId="2B3D8BE5" w14:textId="77777777" w:rsidR="00172304" w:rsidRPr="00063FDC" w:rsidRDefault="00172304" w:rsidP="00190E33">
            <w:pPr>
              <w:tabs>
                <w:tab w:val="left" w:pos="459"/>
              </w:tabs>
              <w:jc w:val="both"/>
              <w:rPr>
                <w:color w:val="000000" w:themeColor="text1"/>
                <w:sz w:val="24"/>
                <w:szCs w:val="24"/>
              </w:rPr>
            </w:pPr>
            <w:r w:rsidRPr="00063FDC">
              <w:rPr>
                <w:bCs/>
                <w:color w:val="000000" w:themeColor="text1"/>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732C9E57" w14:textId="0631F30F" w:rsidR="00172304" w:rsidRPr="00063FDC" w:rsidRDefault="00172304" w:rsidP="00F05C35">
            <w:pPr>
              <w:autoSpaceDN w:val="0"/>
              <w:jc w:val="both"/>
              <w:rPr>
                <w:color w:val="000000" w:themeColor="text1"/>
                <w:sz w:val="24"/>
                <w:szCs w:val="24"/>
              </w:rPr>
            </w:pPr>
            <w:r w:rsidRPr="00063FDC">
              <w:rPr>
                <w:color w:val="000000" w:themeColor="text1"/>
                <w:sz w:val="24"/>
                <w:szCs w:val="24"/>
              </w:rPr>
              <w:t xml:space="preserve">Список общих событий, приводящих к обесценению, указан в Приложении </w:t>
            </w:r>
            <w:r w:rsidR="00F05C35" w:rsidRPr="00063FDC">
              <w:rPr>
                <w:color w:val="000000" w:themeColor="text1"/>
                <w:sz w:val="24"/>
                <w:szCs w:val="24"/>
              </w:rPr>
              <w:t>10</w:t>
            </w:r>
            <w:r w:rsidRPr="00063FDC">
              <w:rPr>
                <w:color w:val="000000" w:themeColor="text1"/>
                <w:sz w:val="24"/>
                <w:szCs w:val="24"/>
              </w:rPr>
              <w:t>.</w:t>
            </w:r>
          </w:p>
        </w:tc>
      </w:tr>
    </w:tbl>
    <w:p w14:paraId="0E7D6E5D"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7702C0F9"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5A9FBF87"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72CDF1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618B505" w14:textId="58A169F5" w:rsidR="009C12C5" w:rsidRPr="00063FDC" w:rsidRDefault="009C12C5" w:rsidP="00172304">
      <w:pPr>
        <w:suppressAutoHyphens w:val="0"/>
        <w:autoSpaceDE/>
        <w:spacing w:after="160" w:line="259" w:lineRule="auto"/>
        <w:rPr>
          <w:color w:val="000000" w:themeColor="text1"/>
          <w:sz w:val="24"/>
          <w:szCs w:val="24"/>
          <w:lang w:eastAsia="ru-RU"/>
        </w:rPr>
      </w:pPr>
    </w:p>
    <w:p w14:paraId="436AB578" w14:textId="55E3BDF5" w:rsidR="009C12C5" w:rsidRPr="00063FDC" w:rsidRDefault="009C12C5" w:rsidP="00172304">
      <w:pPr>
        <w:suppressAutoHyphens w:val="0"/>
        <w:autoSpaceDE/>
        <w:spacing w:after="160" w:line="259" w:lineRule="auto"/>
        <w:rPr>
          <w:color w:val="000000" w:themeColor="text1"/>
          <w:sz w:val="24"/>
          <w:szCs w:val="24"/>
          <w:lang w:eastAsia="ru-RU"/>
        </w:rPr>
      </w:pPr>
    </w:p>
    <w:p w14:paraId="1CFB4DED" w14:textId="63C815DD" w:rsidR="009C12C5" w:rsidRPr="00063FDC" w:rsidRDefault="009C12C5" w:rsidP="00172304">
      <w:pPr>
        <w:suppressAutoHyphens w:val="0"/>
        <w:autoSpaceDE/>
        <w:spacing w:after="160" w:line="259" w:lineRule="auto"/>
        <w:rPr>
          <w:color w:val="000000" w:themeColor="text1"/>
          <w:sz w:val="24"/>
          <w:szCs w:val="24"/>
          <w:lang w:eastAsia="ru-RU"/>
        </w:rPr>
      </w:pPr>
    </w:p>
    <w:p w14:paraId="0DFBBAC5"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680ABC7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45CFFCDE" w14:textId="1DF01EDA" w:rsidR="009C12C5" w:rsidRPr="00063FDC" w:rsidRDefault="009C12C5" w:rsidP="009C12C5">
      <w:pPr>
        <w:tabs>
          <w:tab w:val="left" w:pos="459"/>
        </w:tabs>
        <w:jc w:val="both"/>
        <w:rPr>
          <w:bCs/>
          <w:color w:val="000000" w:themeColor="text1"/>
          <w:sz w:val="24"/>
          <w:szCs w:val="24"/>
          <w:lang w:eastAsia="ru-RU"/>
        </w:rPr>
      </w:pP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5</w:t>
      </w:r>
    </w:p>
    <w:p w14:paraId="61F1FE8E" w14:textId="77777777"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p>
    <w:p w14:paraId="356320D6" w14:textId="26D1F85B"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НЕДВИЖИМОЕ ИМУЩЕСТВО</w:t>
      </w:r>
    </w:p>
    <w:tbl>
      <w:tblPr>
        <w:tblW w:w="989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523"/>
        <w:gridCol w:w="7371"/>
      </w:tblGrid>
      <w:tr w:rsidR="009C12C5" w:rsidRPr="00063FDC" w14:paraId="33F34C48" w14:textId="77777777" w:rsidTr="00867BBF">
        <w:trPr>
          <w:trHeight w:val="363"/>
        </w:trPr>
        <w:tc>
          <w:tcPr>
            <w:tcW w:w="2523" w:type="dxa"/>
            <w:shd w:val="clear" w:color="auto" w:fill="A6A6A6"/>
          </w:tcPr>
          <w:p w14:paraId="36EF85D0"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1DED4EC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Недвижимое имущество</w:t>
            </w:r>
          </w:p>
        </w:tc>
      </w:tr>
      <w:tr w:rsidR="009C12C5" w:rsidRPr="00063FDC" w14:paraId="7CD8DB40" w14:textId="77777777" w:rsidTr="00867BBF">
        <w:trPr>
          <w:trHeight w:val="595"/>
        </w:trPr>
        <w:tc>
          <w:tcPr>
            <w:tcW w:w="2523" w:type="dxa"/>
            <w:shd w:val="clear" w:color="auto" w:fill="A6A6A6"/>
          </w:tcPr>
          <w:p w14:paraId="17C23DE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11CD6EEF" w14:textId="56E31DAC"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включения недвижимого имущества ПИФ – наиболее ранняя из дат:</w:t>
            </w:r>
          </w:p>
          <w:p w14:paraId="11257A27"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w:t>
            </w:r>
          </w:p>
          <w:p w14:paraId="38219EE0" w14:textId="45551BA6"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tc>
      </w:tr>
      <w:tr w:rsidR="009C12C5" w:rsidRPr="00063FDC" w14:paraId="13B1CF98" w14:textId="77777777" w:rsidTr="00867BBF">
        <w:trPr>
          <w:trHeight w:val="845"/>
        </w:trPr>
        <w:tc>
          <w:tcPr>
            <w:tcW w:w="2523" w:type="dxa"/>
            <w:shd w:val="clear" w:color="auto" w:fill="A6A6A6"/>
          </w:tcPr>
          <w:p w14:paraId="26602B5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526AD96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недвижимого имущества новому правообладателю   – наиболее ранняя из дат:</w:t>
            </w:r>
          </w:p>
          <w:p w14:paraId="682344D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 (не применяется при выбытии недвижимого имущества при прекращении ПИФ);</w:t>
            </w:r>
          </w:p>
          <w:p w14:paraId="2C14F90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w:t>
            </w:r>
          </w:p>
          <w:p w14:paraId="3BA30E63" w14:textId="21B60409" w:rsidR="009C12C5" w:rsidRPr="00063FDC" w:rsidRDefault="00063FDC"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7B0BEDE1" w14:textId="77777777" w:rsidR="009C12C5" w:rsidRPr="00063FDC" w:rsidRDefault="009C12C5" w:rsidP="009C12C5">
            <w:pPr>
              <w:tabs>
                <w:tab w:val="left" w:pos="459"/>
              </w:tabs>
              <w:jc w:val="both"/>
              <w:rPr>
                <w:bCs/>
                <w:color w:val="000000" w:themeColor="text1"/>
                <w:sz w:val="24"/>
                <w:szCs w:val="24"/>
                <w:lang w:eastAsia="ru-RU"/>
              </w:rPr>
            </w:pPr>
          </w:p>
        </w:tc>
      </w:tr>
      <w:tr w:rsidR="009C12C5" w:rsidRPr="00063FDC" w14:paraId="7A2E0616" w14:textId="77777777" w:rsidTr="00867BBF">
        <w:tc>
          <w:tcPr>
            <w:tcW w:w="2523" w:type="dxa"/>
            <w:shd w:val="clear" w:color="auto" w:fill="A6A6A6"/>
          </w:tcPr>
          <w:p w14:paraId="2775C1A1"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6B91F4E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p w14:paraId="596E5E8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063FDC" w:rsidDel="001011D3">
              <w:rPr>
                <w:bCs/>
                <w:color w:val="000000" w:themeColor="text1"/>
                <w:sz w:val="24"/>
                <w:szCs w:val="24"/>
                <w:lang w:eastAsia="ru-RU"/>
              </w:rPr>
              <w:t xml:space="preserve"> </w:t>
            </w:r>
          </w:p>
        </w:tc>
      </w:tr>
      <w:tr w:rsidR="009C12C5" w:rsidRPr="00063FDC" w14:paraId="7A94B9F0" w14:textId="77777777" w:rsidTr="00867BBF">
        <w:trPr>
          <w:trHeight w:val="1515"/>
        </w:trPr>
        <w:tc>
          <w:tcPr>
            <w:tcW w:w="2523" w:type="dxa"/>
            <w:shd w:val="clear" w:color="auto" w:fill="A6A6A6"/>
          </w:tcPr>
          <w:p w14:paraId="52AC630A"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и события, приводящие к обесценению </w:t>
            </w:r>
          </w:p>
        </w:tc>
        <w:tc>
          <w:tcPr>
            <w:tcW w:w="7371" w:type="dxa"/>
          </w:tcPr>
          <w:p w14:paraId="3A6069F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объекта недвижимости признается равной 0 (Ноль):</w:t>
            </w:r>
          </w:p>
          <w:p w14:paraId="1FCD57A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23A8B3B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1A02DAE8" w14:textId="77777777" w:rsidR="009C12C5" w:rsidRPr="00063FDC" w:rsidRDefault="009C12C5" w:rsidP="009C12C5">
            <w:pPr>
              <w:tabs>
                <w:tab w:val="left" w:pos="459"/>
              </w:tabs>
              <w:jc w:val="both"/>
              <w:rPr>
                <w:bCs/>
                <w:color w:val="000000" w:themeColor="text1"/>
                <w:sz w:val="24"/>
                <w:szCs w:val="24"/>
                <w:lang w:eastAsia="ru-RU"/>
              </w:rPr>
            </w:pPr>
          </w:p>
        </w:tc>
      </w:tr>
    </w:tbl>
    <w:p w14:paraId="36AE2D37" w14:textId="77777777" w:rsidR="009C12C5" w:rsidRPr="00063FDC" w:rsidRDefault="009C12C5" w:rsidP="009C12C5">
      <w:pPr>
        <w:tabs>
          <w:tab w:val="left" w:pos="459"/>
        </w:tabs>
        <w:jc w:val="both"/>
        <w:rPr>
          <w:bCs/>
          <w:color w:val="000000" w:themeColor="text1"/>
          <w:sz w:val="24"/>
          <w:szCs w:val="24"/>
          <w:lang w:eastAsia="ru-RU"/>
        </w:rPr>
      </w:pPr>
    </w:p>
    <w:p w14:paraId="530968BA" w14:textId="77777777" w:rsidR="009C12C5" w:rsidRPr="00063FDC" w:rsidRDefault="009C12C5" w:rsidP="009C12C5">
      <w:pPr>
        <w:tabs>
          <w:tab w:val="left" w:pos="459"/>
        </w:tabs>
        <w:jc w:val="both"/>
        <w:rPr>
          <w:bCs/>
          <w:color w:val="000000" w:themeColor="text1"/>
          <w:sz w:val="24"/>
          <w:szCs w:val="24"/>
          <w:lang w:eastAsia="ru-RU"/>
        </w:rPr>
      </w:pPr>
    </w:p>
    <w:p w14:paraId="2B0387E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br w:type="page"/>
      </w:r>
    </w:p>
    <w:p w14:paraId="7A173228" w14:textId="605D13DC" w:rsidR="009C12C5" w:rsidRPr="00063FDC" w:rsidRDefault="009C12C5" w:rsidP="009C12C5">
      <w:pPr>
        <w:tabs>
          <w:tab w:val="left" w:pos="459"/>
        </w:tabs>
        <w:jc w:val="both"/>
        <w:rPr>
          <w:bCs/>
          <w:color w:val="000000" w:themeColor="text1"/>
          <w:sz w:val="24"/>
          <w:szCs w:val="24"/>
          <w:lang w:eastAsia="ru-RU"/>
        </w:rPr>
      </w:pPr>
      <w:bookmarkStart w:id="1" w:name="_Приложение_22._Права"/>
      <w:bookmarkStart w:id="2" w:name="_Toc27400778"/>
      <w:bookmarkEnd w:id="1"/>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6</w:t>
      </w:r>
    </w:p>
    <w:bookmarkEnd w:id="2"/>
    <w:p w14:paraId="56C9FA8B" w14:textId="77777777" w:rsidR="009C12C5" w:rsidRPr="00063FDC" w:rsidRDefault="009C12C5" w:rsidP="009C12C5">
      <w:pPr>
        <w:tabs>
          <w:tab w:val="left" w:pos="459"/>
        </w:tabs>
        <w:jc w:val="center"/>
        <w:rPr>
          <w:b/>
          <w:bCs/>
          <w:color w:val="000000" w:themeColor="text1"/>
          <w:sz w:val="24"/>
          <w:szCs w:val="24"/>
          <w:lang w:eastAsia="ru-RU"/>
        </w:rPr>
      </w:pPr>
    </w:p>
    <w:p w14:paraId="41827F91" w14:textId="1376FCB9" w:rsidR="009C12C5" w:rsidRPr="00063FDC" w:rsidRDefault="009C12C5" w:rsidP="009C12C5">
      <w:pPr>
        <w:tabs>
          <w:tab w:val="left" w:pos="459"/>
        </w:tabs>
        <w:jc w:val="center"/>
        <w:rPr>
          <w:b/>
          <w:bCs/>
          <w:color w:val="000000" w:themeColor="text1"/>
          <w:sz w:val="24"/>
          <w:szCs w:val="24"/>
          <w:lang w:eastAsia="ru-RU"/>
        </w:rPr>
      </w:pPr>
      <w:r w:rsidRPr="00063FDC">
        <w:rPr>
          <w:b/>
          <w:bCs/>
          <w:color w:val="000000" w:themeColor="text1"/>
          <w:sz w:val="24"/>
          <w:szCs w:val="24"/>
          <w:lang w:eastAsia="ru-RU"/>
        </w:rPr>
        <w:t>ПРАВА АРЕНДЫ НА НЕДВИЖИМОЕ ИМУЩЕСТВО (ПОЛУЧЕННЫЕ)</w:t>
      </w:r>
    </w:p>
    <w:p w14:paraId="7839DF61" w14:textId="77777777" w:rsidR="009C12C5" w:rsidRPr="00063FDC" w:rsidRDefault="009C12C5" w:rsidP="009C12C5">
      <w:pPr>
        <w:tabs>
          <w:tab w:val="left" w:pos="459"/>
        </w:tabs>
        <w:jc w:val="center"/>
        <w:rPr>
          <w:b/>
          <w:bCs/>
          <w:color w:val="000000" w:themeColor="text1"/>
          <w:sz w:val="24"/>
          <w:szCs w:val="24"/>
          <w:lang w:eastAsia="ru-RU"/>
        </w:rPr>
      </w:pPr>
    </w:p>
    <w:tbl>
      <w:tblPr>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43"/>
        <w:gridCol w:w="7938"/>
      </w:tblGrid>
      <w:tr w:rsidR="009C12C5" w:rsidRPr="00063FDC" w14:paraId="218B6586" w14:textId="77777777" w:rsidTr="00867BBF">
        <w:trPr>
          <w:trHeight w:val="363"/>
        </w:trPr>
        <w:tc>
          <w:tcPr>
            <w:tcW w:w="1843" w:type="dxa"/>
            <w:shd w:val="clear" w:color="auto" w:fill="A6A6A6"/>
          </w:tcPr>
          <w:p w14:paraId="4664A9C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938" w:type="dxa"/>
          </w:tcPr>
          <w:p w14:paraId="1ED30C4B"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r w:rsidR="009C12C5" w:rsidRPr="00063FDC" w14:paraId="72A33A40" w14:textId="77777777" w:rsidTr="00867BBF">
        <w:trPr>
          <w:trHeight w:val="595"/>
        </w:trPr>
        <w:tc>
          <w:tcPr>
            <w:tcW w:w="1843" w:type="dxa"/>
            <w:shd w:val="clear" w:color="auto" w:fill="A6A6A6"/>
          </w:tcPr>
          <w:p w14:paraId="7BC29C1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938" w:type="dxa"/>
          </w:tcPr>
          <w:p w14:paraId="73EA48EF" w14:textId="66AE070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 xml:space="preserve">С даты передачи объекта недвижимости в аренду по акту приема-передачи; </w:t>
            </w:r>
          </w:p>
          <w:p w14:paraId="6C82D7F1" w14:textId="15C61434"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С даты уступки права аренд</w:t>
            </w:r>
            <w:r w:rsidRPr="00063FDC">
              <w:rPr>
                <w:bCs/>
                <w:color w:val="000000" w:themeColor="text1"/>
                <w:sz w:val="24"/>
                <w:szCs w:val="24"/>
                <w:lang w:eastAsia="ru-RU"/>
              </w:rPr>
              <w:t>ы объекта недвижимого имущества</w:t>
            </w:r>
          </w:p>
        </w:tc>
      </w:tr>
      <w:tr w:rsidR="00063FDC" w:rsidRPr="00063FDC" w14:paraId="3417D0A9" w14:textId="77777777" w:rsidTr="00063FDC">
        <w:trPr>
          <w:trHeight w:val="1202"/>
        </w:trPr>
        <w:tc>
          <w:tcPr>
            <w:tcW w:w="1843" w:type="dxa"/>
            <w:shd w:val="clear" w:color="auto" w:fill="A6A6A6"/>
          </w:tcPr>
          <w:p w14:paraId="7AFE934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938" w:type="dxa"/>
          </w:tcPr>
          <w:p w14:paraId="1364BF2C" w14:textId="1A3AA192"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По факту подписания акта возврата имущества арендодателю;</w:t>
            </w:r>
          </w:p>
          <w:p w14:paraId="1B06AD44" w14:textId="346A1511"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Передача ПИФ прав и обязательств по договору третьему лицу;</w:t>
            </w:r>
          </w:p>
          <w:p w14:paraId="10840746" w14:textId="3856DDB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Прочего прекращения прав и обязательств по договору в соответствии с законодательством или договором.</w:t>
            </w:r>
          </w:p>
        </w:tc>
      </w:tr>
      <w:tr w:rsidR="009C12C5" w:rsidRPr="00063FDC" w14:paraId="49A39FAD" w14:textId="77777777" w:rsidTr="00867BBF">
        <w:tc>
          <w:tcPr>
            <w:tcW w:w="1843" w:type="dxa"/>
            <w:shd w:val="clear" w:color="auto" w:fill="A6A6A6"/>
          </w:tcPr>
          <w:p w14:paraId="10ACC12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938" w:type="dxa"/>
          </w:tcPr>
          <w:p w14:paraId="373BEF4C" w14:textId="0ECBBAAB"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прав по договору аренды, арендатором по которому является ПИФ, равна 0 (ноль), если срок договора аренды не превышает 1 (Один) год (при этом пролонгации срока действия договора аренды не происходит) (краткосрочная аренда). </w:t>
            </w:r>
          </w:p>
          <w:p w14:paraId="1158185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ab/>
            </w:r>
          </w:p>
          <w:p w14:paraId="7BA9AFD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37CCCCB0" w14:textId="77777777" w:rsidR="009C12C5" w:rsidRPr="00063FDC" w:rsidRDefault="009C12C5" w:rsidP="009C12C5">
            <w:pPr>
              <w:tabs>
                <w:tab w:val="left" w:pos="459"/>
              </w:tabs>
              <w:jc w:val="both"/>
              <w:rPr>
                <w:bCs/>
                <w:color w:val="000000" w:themeColor="text1"/>
                <w:sz w:val="24"/>
                <w:szCs w:val="24"/>
                <w:lang w:eastAsia="ru-RU"/>
              </w:rPr>
            </w:pPr>
          </w:p>
          <w:p w14:paraId="46D54B4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долгосрочной аренды справедливая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p>
          <w:p w14:paraId="7FB61711" w14:textId="77777777" w:rsidR="009C12C5" w:rsidRPr="00063FDC" w:rsidRDefault="009C12C5" w:rsidP="009C12C5">
            <w:pPr>
              <w:tabs>
                <w:tab w:val="left" w:pos="459"/>
              </w:tabs>
              <w:jc w:val="both"/>
              <w:rPr>
                <w:bCs/>
                <w:color w:val="000000" w:themeColor="text1"/>
                <w:sz w:val="24"/>
                <w:szCs w:val="24"/>
                <w:lang w:eastAsia="ru-RU"/>
              </w:rPr>
            </w:pPr>
          </w:p>
          <w:p w14:paraId="079FE86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CA4842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6E6F7F5F" w14:textId="77777777" w:rsidR="009C12C5" w:rsidRPr="00063FDC" w:rsidRDefault="009C12C5" w:rsidP="009C12C5">
            <w:pPr>
              <w:tabs>
                <w:tab w:val="left" w:pos="459"/>
              </w:tabs>
              <w:jc w:val="both"/>
              <w:rPr>
                <w:bCs/>
                <w:color w:val="000000" w:themeColor="text1"/>
                <w:sz w:val="24"/>
                <w:szCs w:val="24"/>
                <w:lang w:eastAsia="ru-RU"/>
              </w:rPr>
            </w:pPr>
          </w:p>
          <w:p w14:paraId="46765539" w14:textId="2A60349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F05C35" w:rsidRPr="00063FDC">
              <w:rPr>
                <w:bCs/>
                <w:color w:val="000000" w:themeColor="text1"/>
                <w:sz w:val="24"/>
                <w:szCs w:val="24"/>
                <w:lang w:eastAsia="ru-RU"/>
              </w:rPr>
              <w:t>9</w:t>
            </w:r>
            <w:r w:rsidRPr="00063FDC">
              <w:rPr>
                <w:bCs/>
                <w:color w:val="000000" w:themeColor="text1"/>
                <w:sz w:val="24"/>
                <w:szCs w:val="24"/>
                <w:lang w:eastAsia="ru-RU"/>
              </w:rPr>
              <w:t>. При этом такой срок не должен превышать срок действия Правил доверительного управления ПИФ.</w:t>
            </w:r>
          </w:p>
          <w:p w14:paraId="3B79C5BC" w14:textId="54E6C71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tc>
      </w:tr>
    </w:tbl>
    <w:p w14:paraId="3F9C00F1" w14:textId="77777777" w:rsidR="00063FDC" w:rsidRPr="00063FDC" w:rsidRDefault="009C6E14" w:rsidP="009C12C5">
      <w:pPr>
        <w:tabs>
          <w:tab w:val="left" w:pos="459"/>
        </w:tabs>
        <w:jc w:val="both"/>
        <w:rPr>
          <w:b/>
          <w:color w:val="000000" w:themeColor="text1"/>
          <w:sz w:val="24"/>
          <w:szCs w:val="24"/>
          <w:lang w:eastAsia="ru-RU"/>
        </w:rPr>
      </w:pPr>
      <w:bookmarkStart w:id="3" w:name="_Toc27400779"/>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p>
    <w:p w14:paraId="7F22BF15" w14:textId="715FE0F3" w:rsidR="009C6E14" w:rsidRPr="00063FDC" w:rsidRDefault="00063FDC" w:rsidP="009C12C5">
      <w:pPr>
        <w:tabs>
          <w:tab w:val="left" w:pos="459"/>
        </w:tabs>
        <w:jc w:val="both"/>
        <w:rPr>
          <w:b/>
          <w:color w:val="000000" w:themeColor="text1"/>
          <w:sz w:val="24"/>
          <w:szCs w:val="24"/>
          <w:lang w:eastAsia="ru-RU"/>
        </w:rPr>
      </w:pP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r w:rsidR="009C6E14" w:rsidRPr="00063FDC">
        <w:rPr>
          <w:b/>
          <w:color w:val="000000" w:themeColor="text1"/>
          <w:sz w:val="24"/>
          <w:szCs w:val="24"/>
          <w:lang w:eastAsia="ru-RU"/>
        </w:rPr>
        <w:t xml:space="preserve">   Приложение 7</w:t>
      </w:r>
    </w:p>
    <w:p w14:paraId="06BC94F6" w14:textId="77777777" w:rsidR="009C6E14" w:rsidRPr="00063FDC" w:rsidRDefault="009C6E14" w:rsidP="009C12C5">
      <w:pPr>
        <w:tabs>
          <w:tab w:val="left" w:pos="459"/>
        </w:tabs>
        <w:jc w:val="both"/>
        <w:rPr>
          <w:bCs/>
          <w:color w:val="000000" w:themeColor="text1"/>
          <w:sz w:val="24"/>
          <w:szCs w:val="24"/>
          <w:lang w:eastAsia="ru-RU"/>
        </w:rPr>
      </w:pPr>
    </w:p>
    <w:p w14:paraId="25319CA5" w14:textId="066CDFD8" w:rsidR="009C12C5" w:rsidRPr="00063FDC" w:rsidRDefault="009C12C5" w:rsidP="009C6E14">
      <w:pPr>
        <w:tabs>
          <w:tab w:val="left" w:pos="459"/>
        </w:tabs>
        <w:jc w:val="center"/>
        <w:rPr>
          <w:b/>
          <w:bCs/>
          <w:color w:val="000000" w:themeColor="text1"/>
          <w:sz w:val="24"/>
          <w:szCs w:val="24"/>
          <w:lang w:eastAsia="ru-RU"/>
        </w:rPr>
      </w:pPr>
      <w:r w:rsidRPr="00063FDC">
        <w:rPr>
          <w:b/>
          <w:bCs/>
          <w:color w:val="000000" w:themeColor="text1"/>
          <w:sz w:val="24"/>
          <w:szCs w:val="24"/>
          <w:lang w:eastAsia="ru-RU"/>
        </w:rPr>
        <w:t>Договор</w:t>
      </w:r>
      <w:r w:rsidRPr="00063FDC" w:rsidDel="00385390">
        <w:rPr>
          <w:b/>
          <w:bCs/>
          <w:color w:val="000000" w:themeColor="text1"/>
          <w:sz w:val="24"/>
          <w:szCs w:val="24"/>
          <w:lang w:eastAsia="ru-RU"/>
        </w:rPr>
        <w:t xml:space="preserve"> </w:t>
      </w:r>
      <w:r w:rsidRPr="00063FDC">
        <w:rPr>
          <w:b/>
          <w:bCs/>
          <w:color w:val="000000" w:themeColor="text1"/>
          <w:sz w:val="24"/>
          <w:szCs w:val="24"/>
          <w:lang w:eastAsia="ru-RU"/>
        </w:rPr>
        <w:t>участия в долевом строительстве объектов недвижимого имущества</w:t>
      </w:r>
      <w:bookmarkEnd w:id="3"/>
    </w:p>
    <w:p w14:paraId="39071E4A" w14:textId="77777777" w:rsidR="009C6E14" w:rsidRPr="00063FDC" w:rsidRDefault="009C6E14" w:rsidP="009C12C5">
      <w:pPr>
        <w:tabs>
          <w:tab w:val="left" w:pos="459"/>
        </w:tabs>
        <w:jc w:val="both"/>
        <w:rPr>
          <w:bCs/>
          <w:color w:val="000000" w:themeColor="text1"/>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7371"/>
      </w:tblGrid>
      <w:tr w:rsidR="009C12C5" w:rsidRPr="00063FDC" w14:paraId="07261F7D" w14:textId="77777777" w:rsidTr="00867BBF">
        <w:trPr>
          <w:trHeight w:val="363"/>
        </w:trPr>
        <w:tc>
          <w:tcPr>
            <w:tcW w:w="2268" w:type="dxa"/>
            <w:shd w:val="clear" w:color="auto" w:fill="A6A6A6"/>
          </w:tcPr>
          <w:p w14:paraId="7B5335E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42473E6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Имущественные права из договоров участия в долевом строительстве (далее - договор</w:t>
            </w:r>
            <w:r w:rsidRPr="00063FDC" w:rsidDel="00385390">
              <w:rPr>
                <w:bCs/>
                <w:color w:val="000000" w:themeColor="text1"/>
                <w:sz w:val="24"/>
                <w:szCs w:val="24"/>
                <w:lang w:eastAsia="ru-RU"/>
              </w:rPr>
              <w:t xml:space="preserve"> </w:t>
            </w:r>
            <w:r w:rsidRPr="00063FDC">
              <w:rPr>
                <w:bCs/>
                <w:color w:val="000000" w:themeColor="text1"/>
                <w:sz w:val="24"/>
                <w:szCs w:val="24"/>
                <w:lang w:eastAsia="ru-RU"/>
              </w:rPr>
              <w:t xml:space="preserve">участия в долевом строительстве объектов недвижимого имущества); </w:t>
            </w:r>
          </w:p>
          <w:p w14:paraId="4231AF7D" w14:textId="2A971454" w:rsidR="009C12C5" w:rsidRPr="00063FDC" w:rsidRDefault="009C12C5" w:rsidP="009C12C5">
            <w:pPr>
              <w:tabs>
                <w:tab w:val="left" w:pos="459"/>
              </w:tabs>
              <w:jc w:val="both"/>
              <w:rPr>
                <w:bCs/>
                <w:color w:val="000000" w:themeColor="text1"/>
                <w:sz w:val="24"/>
                <w:szCs w:val="24"/>
                <w:lang w:eastAsia="ru-RU"/>
              </w:rPr>
            </w:pPr>
          </w:p>
        </w:tc>
      </w:tr>
      <w:tr w:rsidR="009C12C5" w:rsidRPr="00063FDC" w14:paraId="712A7CC6" w14:textId="77777777" w:rsidTr="00867BBF">
        <w:trPr>
          <w:trHeight w:val="595"/>
        </w:trPr>
        <w:tc>
          <w:tcPr>
            <w:tcW w:w="2268" w:type="dxa"/>
            <w:shd w:val="clear" w:color="auto" w:fill="A6A6A6"/>
          </w:tcPr>
          <w:p w14:paraId="5C92A00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001301E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договора</w:t>
            </w:r>
            <w:r w:rsidRPr="00063FDC" w:rsidDel="00385390">
              <w:rPr>
                <w:bCs/>
                <w:color w:val="000000" w:themeColor="text1"/>
                <w:sz w:val="24"/>
                <w:szCs w:val="24"/>
                <w:lang w:eastAsia="ru-RU"/>
              </w:rPr>
              <w:t xml:space="preserve"> </w:t>
            </w:r>
            <w:r w:rsidRPr="00063FDC">
              <w:rPr>
                <w:bCs/>
                <w:color w:val="000000" w:themeColor="text1"/>
                <w:sz w:val="24"/>
                <w:szCs w:val="24"/>
                <w:lang w:eastAsia="ru-RU"/>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14:paraId="743D5D20" w14:textId="53616B6E" w:rsidR="009C12C5" w:rsidRPr="00063FDC" w:rsidRDefault="009C12C5" w:rsidP="009C12C5">
            <w:pPr>
              <w:tabs>
                <w:tab w:val="left" w:pos="459"/>
              </w:tabs>
              <w:jc w:val="both"/>
              <w:rPr>
                <w:bCs/>
                <w:color w:val="000000" w:themeColor="text1"/>
                <w:sz w:val="24"/>
                <w:szCs w:val="24"/>
                <w:lang w:eastAsia="ru-RU"/>
              </w:rPr>
            </w:pPr>
          </w:p>
        </w:tc>
      </w:tr>
      <w:tr w:rsidR="00063FDC" w:rsidRPr="00063FDC" w14:paraId="61D8A466" w14:textId="77777777" w:rsidTr="00867BBF">
        <w:trPr>
          <w:trHeight w:val="1881"/>
        </w:trPr>
        <w:tc>
          <w:tcPr>
            <w:tcW w:w="2268" w:type="dxa"/>
            <w:shd w:val="clear" w:color="auto" w:fill="A6A6A6"/>
          </w:tcPr>
          <w:p w14:paraId="0601B1F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6D8DC5E1" w14:textId="77777777" w:rsidR="00063FDC" w:rsidRPr="00063FDC" w:rsidRDefault="00063FDC"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передачи объектов недвижимого имущества по окончанию строительства, подтвержденная актом приема-передачи (исполнение договора Застройщиком); </w:t>
            </w:r>
          </w:p>
          <w:p w14:paraId="0AF22E69" w14:textId="5CF9931E"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ПИФ прав и обязательств по договору третьему лицу;</w:t>
            </w:r>
          </w:p>
          <w:p w14:paraId="07EB1D88" w14:textId="77777777"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9C12C5" w:rsidRPr="00063FDC" w14:paraId="1013AD9F" w14:textId="77777777" w:rsidTr="00867BBF">
        <w:tc>
          <w:tcPr>
            <w:tcW w:w="2268" w:type="dxa"/>
            <w:shd w:val="clear" w:color="auto" w:fill="A6A6A6"/>
          </w:tcPr>
          <w:p w14:paraId="4F27CD8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450459C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Оценка справедливой стоимости договора участия в долевом строительстве объектов недвижимого имущества,  инвестиционного договора (далее - договоры), определяется независимым оценщиком. </w:t>
            </w:r>
          </w:p>
          <w:p w14:paraId="52F622A7" w14:textId="77777777" w:rsidR="009C12C5" w:rsidRPr="00063FDC" w:rsidRDefault="009C12C5" w:rsidP="009C12C5">
            <w:pPr>
              <w:tabs>
                <w:tab w:val="left" w:pos="459"/>
              </w:tabs>
              <w:jc w:val="both"/>
              <w:rPr>
                <w:bCs/>
                <w:color w:val="000000" w:themeColor="text1"/>
                <w:sz w:val="24"/>
                <w:szCs w:val="24"/>
                <w:lang w:eastAsia="ru-RU"/>
              </w:rPr>
            </w:pPr>
          </w:p>
          <w:p w14:paraId="468A1963" w14:textId="77777777" w:rsidR="009C12C5" w:rsidRPr="00063FDC" w:rsidRDefault="009C12C5" w:rsidP="009C12C5">
            <w:pPr>
              <w:tabs>
                <w:tab w:val="left" w:pos="459"/>
              </w:tabs>
              <w:jc w:val="both"/>
              <w:rPr>
                <w:bCs/>
                <w:color w:val="000000" w:themeColor="text1"/>
                <w:sz w:val="24"/>
                <w:szCs w:val="24"/>
                <w:lang w:eastAsia="ru-RU"/>
              </w:rPr>
            </w:pPr>
          </w:p>
          <w:p w14:paraId="3AFCD211" w14:textId="387A843F"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w:t>
            </w:r>
            <w:r w:rsidRPr="00063FDC">
              <w:rPr>
                <w:color w:val="000000" w:themeColor="text1"/>
                <w:sz w:val="24"/>
                <w:szCs w:val="24"/>
                <w:lang w:eastAsia="ru-RU"/>
              </w:rPr>
              <w:t xml:space="preserve">Приложение </w:t>
            </w:r>
            <w:r w:rsidR="00F05C35" w:rsidRPr="00063FDC">
              <w:rPr>
                <w:color w:val="000000" w:themeColor="text1"/>
                <w:sz w:val="24"/>
                <w:szCs w:val="24"/>
                <w:lang w:eastAsia="ru-RU"/>
              </w:rPr>
              <w:t>10</w:t>
            </w:r>
            <w:r w:rsidRPr="00063FDC">
              <w:rPr>
                <w:bCs/>
                <w:color w:val="000000" w:themeColor="text1"/>
                <w:sz w:val="24"/>
                <w:szCs w:val="24"/>
                <w:lang w:eastAsia="ru-RU"/>
              </w:rPr>
              <w:t>).</w:t>
            </w:r>
          </w:p>
        </w:tc>
      </w:tr>
      <w:tr w:rsidR="009C12C5" w:rsidRPr="00063FDC" w14:paraId="61D4C530" w14:textId="77777777" w:rsidTr="00867BBF">
        <w:tc>
          <w:tcPr>
            <w:tcW w:w="2268" w:type="dxa"/>
            <w:shd w:val="clear" w:color="auto" w:fill="A6A6A6"/>
          </w:tcPr>
          <w:p w14:paraId="5DF85F4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и события, приводящие к обесценению</w:t>
            </w:r>
          </w:p>
        </w:tc>
        <w:tc>
          <w:tcPr>
            <w:tcW w:w="7371" w:type="dxa"/>
          </w:tcPr>
          <w:p w14:paraId="1C6B7784" w14:textId="18A97CA0"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Список общих событий, приводящих к обесценению, указан в Приложении </w:t>
            </w:r>
            <w:r w:rsidR="00F05C35" w:rsidRPr="00063FDC">
              <w:rPr>
                <w:bCs/>
                <w:color w:val="000000" w:themeColor="text1"/>
                <w:sz w:val="24"/>
                <w:szCs w:val="24"/>
                <w:lang w:eastAsia="ru-RU"/>
              </w:rPr>
              <w:t>10</w:t>
            </w:r>
            <w:r w:rsidRPr="00063FDC">
              <w:rPr>
                <w:bCs/>
                <w:color w:val="000000" w:themeColor="text1"/>
                <w:sz w:val="24"/>
                <w:szCs w:val="24"/>
                <w:lang w:eastAsia="ru-RU"/>
              </w:rPr>
              <w:t>.</w:t>
            </w:r>
          </w:p>
        </w:tc>
      </w:tr>
    </w:tbl>
    <w:p w14:paraId="3A9DB228" w14:textId="77777777" w:rsidR="009C12C5" w:rsidRPr="00063FDC" w:rsidRDefault="009C12C5" w:rsidP="009C12C5">
      <w:pPr>
        <w:tabs>
          <w:tab w:val="left" w:pos="459"/>
        </w:tabs>
        <w:jc w:val="both"/>
        <w:rPr>
          <w:bCs/>
          <w:color w:val="000000" w:themeColor="text1"/>
          <w:sz w:val="24"/>
          <w:szCs w:val="24"/>
          <w:lang w:eastAsia="ru-RU"/>
        </w:rPr>
        <w:sectPr w:rsidR="009C12C5" w:rsidRPr="00063FDC" w:rsidSect="00190E33">
          <w:pgSz w:w="12240" w:h="15840"/>
          <w:pgMar w:top="1134" w:right="709" w:bottom="992" w:left="1701" w:header="720" w:footer="720" w:gutter="0"/>
          <w:cols w:space="720"/>
          <w:noEndnote/>
          <w:docGrid w:linePitch="360"/>
        </w:sectPr>
      </w:pPr>
    </w:p>
    <w:p w14:paraId="0B96BDCB" w14:textId="2C9E12B8" w:rsidR="00190E33" w:rsidRPr="00063FDC" w:rsidRDefault="00190E33" w:rsidP="00190E33">
      <w:pPr>
        <w:jc w:val="right"/>
        <w:rPr>
          <w:b/>
          <w:color w:val="000000" w:themeColor="text1"/>
          <w:sz w:val="24"/>
          <w:szCs w:val="24"/>
        </w:rPr>
      </w:pPr>
      <w:r w:rsidRPr="00063FDC">
        <w:rPr>
          <w:b/>
          <w:color w:val="000000" w:themeColor="text1"/>
          <w:sz w:val="24"/>
          <w:szCs w:val="24"/>
        </w:rPr>
        <w:t>Приложение 8</w:t>
      </w:r>
    </w:p>
    <w:p w14:paraId="30FBCA3F" w14:textId="77777777" w:rsidR="00190E33" w:rsidRPr="00063FDC" w:rsidRDefault="00190E33" w:rsidP="00190E33">
      <w:pPr>
        <w:pStyle w:val="a8"/>
        <w:ind w:left="0"/>
        <w:jc w:val="center"/>
        <w:rPr>
          <w:b/>
          <w:bCs/>
          <w:color w:val="000000" w:themeColor="text1"/>
          <w:sz w:val="24"/>
          <w:szCs w:val="24"/>
          <w:lang w:eastAsia="ru-RU"/>
        </w:rPr>
      </w:pPr>
      <w:r w:rsidRPr="00063FDC">
        <w:rPr>
          <w:b/>
          <w:bCs/>
          <w:color w:val="000000" w:themeColor="text1"/>
          <w:sz w:val="24"/>
          <w:szCs w:val="24"/>
          <w:lang w:eastAsia="ru-RU"/>
        </w:rPr>
        <w:t>КРЕДИТОРСКАЯ ЗАДОЛЖЕННОСТЬ</w:t>
      </w:r>
    </w:p>
    <w:tbl>
      <w:tblPr>
        <w:tblStyle w:val="ae"/>
        <w:tblpPr w:leftFromText="180" w:rightFromText="180" w:vertAnchor="text" w:horzAnchor="page" w:tblpX="929" w:tblpY="601"/>
        <w:tblW w:w="13603" w:type="dxa"/>
        <w:tblLook w:val="04A0" w:firstRow="1" w:lastRow="0" w:firstColumn="1" w:lastColumn="0" w:noHBand="0" w:noVBand="1"/>
      </w:tblPr>
      <w:tblGrid>
        <w:gridCol w:w="2830"/>
        <w:gridCol w:w="4370"/>
        <w:gridCol w:w="2977"/>
        <w:gridCol w:w="3426"/>
      </w:tblGrid>
      <w:tr w:rsidR="00063FDC" w:rsidRPr="00063FDC" w14:paraId="50053C3F" w14:textId="77777777" w:rsidTr="00190E33">
        <w:tc>
          <w:tcPr>
            <w:tcW w:w="2830" w:type="dxa"/>
            <w:shd w:val="clear" w:color="auto" w:fill="A6A6A6" w:themeFill="background1" w:themeFillShade="A6"/>
            <w:vAlign w:val="center"/>
          </w:tcPr>
          <w:p w14:paraId="468AA0E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Виды обязательств</w:t>
            </w:r>
          </w:p>
        </w:tc>
        <w:tc>
          <w:tcPr>
            <w:tcW w:w="4370" w:type="dxa"/>
            <w:shd w:val="clear" w:color="auto" w:fill="A6A6A6" w:themeFill="background1" w:themeFillShade="A6"/>
            <w:vAlign w:val="center"/>
          </w:tcPr>
          <w:p w14:paraId="4F4B01AD"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lang w:eastAsia="ru-RU"/>
              </w:rPr>
              <w:t>Критерии признания</w:t>
            </w:r>
          </w:p>
        </w:tc>
        <w:tc>
          <w:tcPr>
            <w:tcW w:w="2977" w:type="dxa"/>
            <w:shd w:val="clear" w:color="auto" w:fill="A6A6A6" w:themeFill="background1" w:themeFillShade="A6"/>
            <w:vAlign w:val="center"/>
          </w:tcPr>
          <w:p w14:paraId="0B8C2231"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Критерии прекращения признания</w:t>
            </w:r>
          </w:p>
        </w:tc>
        <w:tc>
          <w:tcPr>
            <w:tcW w:w="3426" w:type="dxa"/>
            <w:shd w:val="clear" w:color="auto" w:fill="A6A6A6" w:themeFill="background1" w:themeFillShade="A6"/>
          </w:tcPr>
          <w:p w14:paraId="1A086B3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Справедливая стоимость</w:t>
            </w:r>
          </w:p>
        </w:tc>
      </w:tr>
      <w:tr w:rsidR="00063FDC" w:rsidRPr="00063FDC" w14:paraId="247F5246" w14:textId="77777777" w:rsidTr="00190E33">
        <w:tc>
          <w:tcPr>
            <w:tcW w:w="2830" w:type="dxa"/>
            <w:vAlign w:val="center"/>
          </w:tcPr>
          <w:p w14:paraId="73E529FB" w14:textId="77777777" w:rsidR="00190E33" w:rsidRPr="00063FDC" w:rsidRDefault="00190E33" w:rsidP="00190E33">
            <w:pPr>
              <w:jc w:val="both"/>
              <w:rPr>
                <w:color w:val="000000" w:themeColor="text1"/>
                <w:sz w:val="24"/>
                <w:szCs w:val="24"/>
              </w:rPr>
            </w:pPr>
            <w:r w:rsidRPr="00063FDC">
              <w:rPr>
                <w:bCs/>
                <w:color w:val="000000" w:themeColor="text1"/>
                <w:sz w:val="24"/>
                <w:szCs w:val="24"/>
                <w:lang w:eastAsia="ru-RU"/>
              </w:rPr>
              <w:t>Кредиторская задолженность по сделкам купли-продажи имущества паевого инвестиционного фонда</w:t>
            </w:r>
            <w:r w:rsidRPr="00063FDC">
              <w:rPr>
                <w:color w:val="000000" w:themeColor="text1"/>
                <w:sz w:val="24"/>
                <w:szCs w:val="24"/>
              </w:rPr>
              <w:t>.</w:t>
            </w:r>
          </w:p>
        </w:tc>
        <w:tc>
          <w:tcPr>
            <w:tcW w:w="4370" w:type="dxa"/>
            <w:vAlign w:val="center"/>
          </w:tcPr>
          <w:p w14:paraId="39886E02" w14:textId="77777777" w:rsidR="00190E33" w:rsidRPr="00063FDC" w:rsidRDefault="00190E33" w:rsidP="00190E33">
            <w:pPr>
              <w:pStyle w:val="a8"/>
              <w:numPr>
                <w:ilvl w:val="0"/>
                <w:numId w:val="2"/>
              </w:numPr>
              <w:suppressAutoHyphens w:val="0"/>
              <w:autoSpaceDE/>
              <w:ind w:left="0" w:hanging="324"/>
              <w:contextualSpacing w:val="0"/>
              <w:jc w:val="both"/>
              <w:rPr>
                <w:bCs/>
                <w:color w:val="000000" w:themeColor="text1"/>
                <w:sz w:val="24"/>
                <w:szCs w:val="24"/>
                <w:lang w:eastAsia="ru-RU"/>
              </w:rPr>
            </w:pPr>
            <w:r w:rsidRPr="00063FDC">
              <w:rPr>
                <w:bCs/>
                <w:color w:val="000000" w:themeColor="text1"/>
                <w:sz w:val="24"/>
                <w:szCs w:val="24"/>
                <w:lang w:eastAsia="ru-RU"/>
              </w:rPr>
              <w:t>Дата перехода  к ПИФ права собственности на имущество /поступление денежных средств на банковский/брокерский счет ПИФ от кредитора.</w:t>
            </w:r>
          </w:p>
        </w:tc>
        <w:tc>
          <w:tcPr>
            <w:tcW w:w="2977" w:type="dxa"/>
            <w:vAlign w:val="center"/>
          </w:tcPr>
          <w:p w14:paraId="41F104E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исполнения обязательств ПИФ по договору.</w:t>
            </w:r>
          </w:p>
        </w:tc>
        <w:tc>
          <w:tcPr>
            <w:tcW w:w="3426" w:type="dxa"/>
            <w:vAlign w:val="center"/>
          </w:tcPr>
          <w:p w14:paraId="5655613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04AED09B" w14:textId="77777777" w:rsidTr="00190E33">
        <w:tc>
          <w:tcPr>
            <w:tcW w:w="2830" w:type="dxa"/>
            <w:vAlign w:val="center"/>
          </w:tcPr>
          <w:p w14:paraId="4384125C" w14:textId="77777777" w:rsidR="00190E33" w:rsidRPr="00063FDC" w:rsidRDefault="00190E33" w:rsidP="00190E33">
            <w:pPr>
              <w:pStyle w:val="a8"/>
              <w:ind w:left="0"/>
              <w:contextualSpacing w:val="0"/>
              <w:jc w:val="both"/>
              <w:rPr>
                <w:color w:val="000000" w:themeColor="text1"/>
                <w:sz w:val="24"/>
                <w:szCs w:val="24"/>
              </w:rPr>
            </w:pPr>
            <w:r w:rsidRPr="00063FDC">
              <w:rPr>
                <w:bCs/>
                <w:color w:val="000000" w:themeColor="text1"/>
                <w:sz w:val="24"/>
                <w:szCs w:val="24"/>
                <w:lang w:eastAsia="ru-RU"/>
              </w:rPr>
              <w:t>Кредиторская задолженность по выдаче инвестиционных паев.</w:t>
            </w:r>
          </w:p>
        </w:tc>
        <w:tc>
          <w:tcPr>
            <w:tcW w:w="4370" w:type="dxa"/>
            <w:vAlign w:val="center"/>
          </w:tcPr>
          <w:p w14:paraId="3CC11F7A"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57E14CC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внесения приходной записи о выдаче инвестиционных паев.</w:t>
            </w:r>
          </w:p>
        </w:tc>
        <w:tc>
          <w:tcPr>
            <w:tcW w:w="3426" w:type="dxa"/>
            <w:vAlign w:val="center"/>
          </w:tcPr>
          <w:p w14:paraId="794C719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401A5B13" w14:textId="77777777" w:rsidTr="00190E33">
        <w:tc>
          <w:tcPr>
            <w:tcW w:w="2830" w:type="dxa"/>
            <w:vAlign w:val="center"/>
          </w:tcPr>
          <w:p w14:paraId="14774D4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370" w:type="dxa"/>
            <w:vAlign w:val="center"/>
          </w:tcPr>
          <w:p w14:paraId="3FDD628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2B18DF6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возврата суммы задолженности перед управляющей компанией согласно банковской выписке.</w:t>
            </w:r>
          </w:p>
        </w:tc>
        <w:tc>
          <w:tcPr>
            <w:tcW w:w="3426" w:type="dxa"/>
            <w:vAlign w:val="center"/>
          </w:tcPr>
          <w:p w14:paraId="743F6BE0"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003097B0" w14:textId="77777777" w:rsidTr="00190E33">
        <w:tc>
          <w:tcPr>
            <w:tcW w:w="2830" w:type="dxa"/>
            <w:vAlign w:val="center"/>
          </w:tcPr>
          <w:p w14:paraId="4E24B48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уплате налогов и других обязательных платежей за счет имущества паевого инвестиционного фонда.</w:t>
            </w:r>
          </w:p>
        </w:tc>
        <w:tc>
          <w:tcPr>
            <w:tcW w:w="4370" w:type="dxa"/>
            <w:vAlign w:val="center"/>
          </w:tcPr>
          <w:p w14:paraId="712F7E74"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Дата определения СЧА</w:t>
            </w:r>
          </w:p>
          <w:p w14:paraId="4613244C"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Дата возникновения обязательства по уплате земельного налога, налога на имущество, НДС, обязательного платежа согласно нормативным правовым актам Российской Федерации и (или) договору.</w:t>
            </w:r>
          </w:p>
          <w:p w14:paraId="676450B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Для НДФЛ – дата выплаты суммы                 </w:t>
            </w:r>
          </w:p>
          <w:p w14:paraId="0E78BBB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денежной компенсации за </w:t>
            </w:r>
          </w:p>
          <w:p w14:paraId="48C7444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инвестиционные паи / дохода по </w:t>
            </w:r>
          </w:p>
          <w:p w14:paraId="1F9288D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инвестиционным паям согласно </w:t>
            </w:r>
          </w:p>
          <w:p w14:paraId="5397A8E5"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банковской выписке.</w:t>
            </w:r>
          </w:p>
        </w:tc>
        <w:tc>
          <w:tcPr>
            <w:tcW w:w="2977" w:type="dxa"/>
            <w:vAlign w:val="center"/>
          </w:tcPr>
          <w:p w14:paraId="7C37336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перечисления суммы налогов (обязательных платежей) с банковского счета согласно банковской выписке.</w:t>
            </w:r>
          </w:p>
        </w:tc>
        <w:tc>
          <w:tcPr>
            <w:tcW w:w="3426" w:type="dxa"/>
            <w:vAlign w:val="center"/>
          </w:tcPr>
          <w:p w14:paraId="6CBBEAE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4BD13755" w14:textId="77777777" w:rsidTr="00190E33">
        <w:tc>
          <w:tcPr>
            <w:tcW w:w="2830" w:type="dxa"/>
            <w:vAlign w:val="center"/>
          </w:tcPr>
          <w:p w14:paraId="6337EBB7" w14:textId="77777777" w:rsidR="00190E33" w:rsidRPr="00063FDC" w:rsidRDefault="00190E33" w:rsidP="00190E33">
            <w:pPr>
              <w:ind w:left="22"/>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063FDC">
              <w:rPr>
                <w:bCs/>
                <w:i/>
                <w:color w:val="000000" w:themeColor="text1"/>
                <w:sz w:val="24"/>
                <w:szCs w:val="24"/>
                <w:lang w:eastAsia="ru-RU"/>
              </w:rPr>
              <w:t>,</w:t>
            </w:r>
            <w:r w:rsidRPr="00063FDC">
              <w:rPr>
                <w:bCs/>
                <w:color w:val="000000" w:themeColor="text1"/>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370" w:type="dxa"/>
          </w:tcPr>
          <w:p w14:paraId="735AAED6"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 xml:space="preserve">Дата определения СЧА ПИФ.  </w:t>
            </w:r>
          </w:p>
          <w:p w14:paraId="78F22A6B" w14:textId="77777777" w:rsidR="00190E33" w:rsidRPr="00063FDC" w:rsidRDefault="00190E33" w:rsidP="00190E33">
            <w:pPr>
              <w:pStyle w:val="a8"/>
              <w:suppressAutoHyphens w:val="0"/>
              <w:autoSpaceDE/>
              <w:ind w:left="418"/>
              <w:jc w:val="both"/>
              <w:rPr>
                <w:bCs/>
                <w:color w:val="000000" w:themeColor="text1"/>
                <w:sz w:val="24"/>
                <w:szCs w:val="24"/>
                <w:lang w:eastAsia="ru-RU"/>
              </w:rPr>
            </w:pPr>
            <w:r w:rsidRPr="00063FDC">
              <w:rPr>
                <w:bCs/>
                <w:color w:val="000000" w:themeColor="text1"/>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063FDC">
              <w:rPr>
                <w:rStyle w:val="afa"/>
                <w:bCs/>
                <w:color w:val="000000" w:themeColor="text1"/>
                <w:sz w:val="24"/>
                <w:szCs w:val="24"/>
                <w:lang w:eastAsia="ru-RU"/>
              </w:rPr>
              <w:footnoteReference w:id="2"/>
            </w:r>
          </w:p>
          <w:p w14:paraId="7D52539D" w14:textId="77777777" w:rsidR="00190E33" w:rsidRPr="00063FDC" w:rsidRDefault="00190E33" w:rsidP="00190E33">
            <w:pPr>
              <w:pStyle w:val="a8"/>
              <w:suppressAutoHyphens w:val="0"/>
              <w:autoSpaceDE/>
              <w:ind w:left="418"/>
              <w:jc w:val="both"/>
              <w:rPr>
                <w:rFonts w:ascii="Verdana" w:hAnsi="Verdana"/>
                <w:bCs/>
                <w:color w:val="000000" w:themeColor="text1"/>
                <w:lang w:eastAsia="ru-RU"/>
              </w:rPr>
            </w:pPr>
            <w:r w:rsidRPr="00063FDC">
              <w:rPr>
                <w:bCs/>
                <w:color w:val="000000" w:themeColor="text1"/>
                <w:sz w:val="24"/>
                <w:szCs w:val="24"/>
                <w:lang w:eastAsia="ru-RU"/>
              </w:rPr>
              <w:t xml:space="preserve">    </w:t>
            </w:r>
          </w:p>
          <w:p w14:paraId="5A5E9AE8"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A698D45"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3E5D8BD9" w14:textId="77777777" w:rsidR="00190E33" w:rsidRPr="00063FDC" w:rsidRDefault="00190E33" w:rsidP="00190E33">
            <w:pPr>
              <w:suppressAutoHyphens w:val="0"/>
              <w:autoSpaceDE/>
              <w:ind w:left="58"/>
              <w:jc w:val="both"/>
              <w:rPr>
                <w:bCs/>
                <w:color w:val="000000" w:themeColor="text1"/>
                <w:sz w:val="24"/>
                <w:szCs w:val="24"/>
                <w:lang w:eastAsia="ru-RU"/>
              </w:rPr>
            </w:pPr>
          </w:p>
        </w:tc>
        <w:tc>
          <w:tcPr>
            <w:tcW w:w="2977" w:type="dxa"/>
            <w:vAlign w:val="center"/>
          </w:tcPr>
          <w:p w14:paraId="25CAE05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перечисления суммы вознаграждений и расходов с банковского счета согласно банковской выписке.</w:t>
            </w:r>
          </w:p>
        </w:tc>
        <w:tc>
          <w:tcPr>
            <w:tcW w:w="3426" w:type="dxa"/>
            <w:vAlign w:val="center"/>
          </w:tcPr>
          <w:p w14:paraId="730E5C7F" w14:textId="77777777" w:rsidR="00190E33" w:rsidRPr="00063FDC" w:rsidRDefault="00190E33" w:rsidP="00190E33">
            <w:pPr>
              <w:rPr>
                <w:color w:val="000000" w:themeColor="text1"/>
                <w:sz w:val="24"/>
                <w:szCs w:val="24"/>
              </w:rPr>
            </w:pPr>
            <w:r w:rsidRPr="00063FDC">
              <w:rPr>
                <w:color w:val="000000" w:themeColor="text1"/>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08FF78FD"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77EBE139" w14:textId="77777777" w:rsidTr="00190E33">
        <w:trPr>
          <w:trHeight w:val="1221"/>
        </w:trPr>
        <w:tc>
          <w:tcPr>
            <w:tcW w:w="2830" w:type="dxa"/>
            <w:vAlign w:val="center"/>
          </w:tcPr>
          <w:p w14:paraId="3444A546"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выплате доходов владельцам инвестиционных паев.</w:t>
            </w:r>
          </w:p>
        </w:tc>
        <w:tc>
          <w:tcPr>
            <w:tcW w:w="4370" w:type="dxa"/>
            <w:vAlign w:val="center"/>
          </w:tcPr>
          <w:p w14:paraId="48854FC3"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3D51C3CE" w14:textId="77777777" w:rsidR="00190E33" w:rsidRPr="00063FDC" w:rsidRDefault="00190E33" w:rsidP="00190E33">
            <w:pPr>
              <w:pStyle w:val="a8"/>
              <w:ind w:left="0"/>
              <w:contextualSpacing w:val="0"/>
              <w:jc w:val="both"/>
              <w:rPr>
                <w:color w:val="000000" w:themeColor="text1"/>
                <w:lang w:eastAsia="ru-RU"/>
              </w:rPr>
            </w:pPr>
            <w:r w:rsidRPr="00063FDC">
              <w:rPr>
                <w:bCs/>
                <w:color w:val="000000" w:themeColor="text1"/>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3426" w:type="dxa"/>
            <w:vAlign w:val="center"/>
          </w:tcPr>
          <w:p w14:paraId="04D1991F" w14:textId="77777777" w:rsidR="00190E33" w:rsidRPr="00063FDC" w:rsidRDefault="00190E33" w:rsidP="00190E33">
            <w:pPr>
              <w:pStyle w:val="a8"/>
              <w:ind w:left="0"/>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7CFFADDD" w14:textId="6AEF4F67" w:rsidR="00190E33" w:rsidRPr="00063FDC" w:rsidRDefault="00190E33" w:rsidP="00172304">
      <w:pPr>
        <w:suppressAutoHyphens w:val="0"/>
        <w:autoSpaceDE/>
        <w:spacing w:after="160" w:line="259" w:lineRule="auto"/>
        <w:rPr>
          <w:color w:val="000000" w:themeColor="text1"/>
          <w:sz w:val="24"/>
          <w:szCs w:val="24"/>
          <w:lang w:eastAsia="ru-RU"/>
        </w:rPr>
      </w:pPr>
    </w:p>
    <w:p w14:paraId="37DCB58F" w14:textId="77777777" w:rsidR="00190E33" w:rsidRPr="00063FDC" w:rsidRDefault="00190E33" w:rsidP="00190E33">
      <w:pPr>
        <w:suppressAutoHyphens w:val="0"/>
        <w:autoSpaceDE/>
        <w:spacing w:after="160" w:line="259" w:lineRule="auto"/>
        <w:rPr>
          <w:color w:val="000000" w:themeColor="text1"/>
          <w:sz w:val="24"/>
          <w:szCs w:val="24"/>
          <w:lang w:eastAsia="ru-RU"/>
        </w:rPr>
        <w:sectPr w:rsidR="00190E33" w:rsidRPr="00063FDC" w:rsidSect="00190E33">
          <w:footerReference w:type="default" r:id="rId84"/>
          <w:pgSz w:w="15840" w:h="12240" w:orient="landscape"/>
          <w:pgMar w:top="1701" w:right="1134" w:bottom="709" w:left="992" w:header="720" w:footer="720" w:gutter="0"/>
          <w:cols w:space="720"/>
          <w:noEndnote/>
          <w:titlePg/>
          <w:docGrid w:linePitch="299"/>
        </w:sectPr>
      </w:pPr>
    </w:p>
    <w:p w14:paraId="7EE453CD" w14:textId="62B5535B" w:rsidR="00B06F0C" w:rsidRPr="00063FDC" w:rsidRDefault="00B06F0C" w:rsidP="00190E33">
      <w:pPr>
        <w:suppressAutoHyphens w:val="0"/>
        <w:autoSpaceDE/>
        <w:spacing w:after="160" w:line="259" w:lineRule="auto"/>
        <w:jc w:val="right"/>
        <w:rPr>
          <w:b/>
          <w:color w:val="000000" w:themeColor="text1"/>
          <w:sz w:val="24"/>
          <w:szCs w:val="24"/>
          <w:lang w:eastAsia="ru-RU"/>
        </w:rPr>
      </w:pPr>
      <w:bookmarkStart w:id="4" w:name="_Toc27400762"/>
      <w:r w:rsidRPr="00063FDC">
        <w:rPr>
          <w:b/>
          <w:color w:val="000000" w:themeColor="text1"/>
          <w:sz w:val="24"/>
          <w:szCs w:val="24"/>
          <w:lang w:eastAsia="ru-RU"/>
        </w:rPr>
        <w:t xml:space="preserve">Приложение </w:t>
      </w:r>
      <w:r w:rsidR="000467F7" w:rsidRPr="00063FDC">
        <w:rPr>
          <w:b/>
          <w:color w:val="000000" w:themeColor="text1"/>
          <w:sz w:val="24"/>
          <w:szCs w:val="24"/>
          <w:lang w:eastAsia="ru-RU"/>
        </w:rPr>
        <w:t>9</w:t>
      </w:r>
    </w:p>
    <w:p w14:paraId="186FDF87" w14:textId="77777777" w:rsidR="00A83D37" w:rsidRPr="00063FDC" w:rsidRDefault="00B06F0C" w:rsidP="00A83D37">
      <w:pPr>
        <w:autoSpaceDN w:val="0"/>
        <w:adjustRightInd w:val="0"/>
        <w:spacing w:line="360" w:lineRule="auto"/>
        <w:jc w:val="center"/>
        <w:rPr>
          <w:b/>
          <w:caps/>
          <w:color w:val="000000" w:themeColor="text1"/>
          <w:sz w:val="24"/>
          <w:szCs w:val="24"/>
        </w:rPr>
      </w:pPr>
      <w:r w:rsidRPr="00063FDC">
        <w:rPr>
          <w:b/>
          <w:caps/>
          <w:color w:val="000000" w:themeColor="text1"/>
          <w:sz w:val="24"/>
          <w:szCs w:val="24"/>
        </w:rPr>
        <w:t>Метод приведенной стоимости будущих денежных потоков</w:t>
      </w:r>
      <w:bookmarkEnd w:id="4"/>
    </w:p>
    <w:p w14:paraId="16DF01DB" w14:textId="77777777" w:rsidR="007C5CED" w:rsidRPr="00063FDC" w:rsidRDefault="007C5CED" w:rsidP="00A83D37">
      <w:pPr>
        <w:autoSpaceDN w:val="0"/>
        <w:adjustRightInd w:val="0"/>
        <w:spacing w:line="360" w:lineRule="auto"/>
        <w:jc w:val="center"/>
        <w:rPr>
          <w:b/>
          <w:caps/>
          <w:color w:val="000000" w:themeColor="text1"/>
          <w:sz w:val="24"/>
          <w:szCs w:val="24"/>
        </w:rPr>
      </w:pPr>
    </w:p>
    <w:p w14:paraId="0456F0CD" w14:textId="77777777" w:rsidR="000A6250" w:rsidRPr="00063FDC" w:rsidRDefault="000A6250" w:rsidP="00070424">
      <w:pPr>
        <w:spacing w:line="360" w:lineRule="auto"/>
        <w:rPr>
          <w:color w:val="000000" w:themeColor="text1"/>
          <w:sz w:val="24"/>
          <w:szCs w:val="24"/>
        </w:rPr>
      </w:pPr>
      <w:r w:rsidRPr="00063FDC">
        <w:rPr>
          <w:color w:val="000000" w:themeColor="text1"/>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16C2EFBF" w:rsidR="000A6250" w:rsidRPr="00063FDC" w:rsidRDefault="000A6250"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Депозиты в кредитных организациях в случаях, указанных в Приложении 7.</w:t>
      </w:r>
    </w:p>
    <w:p w14:paraId="4F741E4B" w14:textId="4B031269" w:rsidR="00C8239C" w:rsidRPr="00063FDC" w:rsidRDefault="00C8239C"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Обязательства по договорам аренды полученной на срок более 1 года (долгосрочная аренда, где ПИФ - арендатор) (Приложение 6).</w:t>
      </w:r>
    </w:p>
    <w:p w14:paraId="0F9B65B9" w14:textId="77777777" w:rsidR="007C5CED"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Приведенная стоимость будущих денежных потоков рассчитывается по формуле:</w:t>
      </w:r>
    </w:p>
    <w:p w14:paraId="579A32BD" w14:textId="77777777" w:rsidR="007C5CED" w:rsidRPr="00063FDC" w:rsidRDefault="007C5CED" w:rsidP="00070424">
      <w:pPr>
        <w:autoSpaceDN w:val="0"/>
        <w:adjustRightInd w:val="0"/>
        <w:spacing w:line="360" w:lineRule="auto"/>
        <w:ind w:firstLine="709"/>
        <w:jc w:val="center"/>
        <w:rPr>
          <w:color w:val="000000" w:themeColor="text1"/>
          <w:sz w:val="24"/>
          <w:szCs w:val="24"/>
          <w:lang w:eastAsia="ru-RU"/>
        </w:rPr>
      </w:pPr>
      <w:r w:rsidRPr="00063FDC">
        <w:rPr>
          <w:color w:val="000000" w:themeColor="text1"/>
          <w:sz w:val="24"/>
          <w:szCs w:val="24"/>
          <w:lang w:eastAsia="ru-RU"/>
        </w:rPr>
        <w:object w:dxaOrig="2079" w:dyaOrig="700" w14:anchorId="06D0E393">
          <v:shape id="_x0000_i1070" type="#_x0000_t75" style="width:108.6pt;height:36.6pt" o:ole="">
            <v:imagedata r:id="rId85" o:title=""/>
          </v:shape>
          <o:OLEObject Type="Embed" ProgID="Equation.3" ShapeID="_x0000_i1070" DrawAspect="Content" ObjectID="_1709999245" r:id="rId86"/>
        </w:object>
      </w:r>
    </w:p>
    <w:p w14:paraId="51994FE8"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val="en-US" w:eastAsia="ru-RU"/>
        </w:rPr>
        <w:t>PV</w:t>
      </w:r>
      <w:r w:rsidRPr="00063FDC">
        <w:rPr>
          <w:color w:val="000000" w:themeColor="text1"/>
          <w:sz w:val="24"/>
          <w:szCs w:val="24"/>
          <w:lang w:eastAsia="ru-RU"/>
        </w:rPr>
        <w:t xml:space="preserve"> – справедливая стоимость актива;</w:t>
      </w:r>
    </w:p>
    <w:p w14:paraId="019B498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16B72358">
          <v:shape id="_x0000_i1071" type="#_x0000_t75" style="width:14.4pt;height:21pt" o:ole="">
            <v:imagedata r:id="rId87" o:title=""/>
          </v:shape>
          <o:OLEObject Type="Embed" ProgID="Equation.3" ShapeID="_x0000_i1071" DrawAspect="Content" ObjectID="_1709999246" r:id="rId88"/>
        </w:object>
      </w:r>
      <w:r w:rsidRPr="00063FDC">
        <w:rPr>
          <w:color w:val="000000" w:themeColor="text1"/>
          <w:sz w:val="24"/>
          <w:szCs w:val="24"/>
          <w:lang w:eastAsia="ru-RU"/>
        </w:rPr>
        <w:t xml:space="preserve">  - сумма n-ого денежного потока (проценты и основная сумма); </w:t>
      </w:r>
    </w:p>
    <w:p w14:paraId="63045A42"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порядковый номер денежного потока, начиная с даты определения СЧА;</w:t>
      </w:r>
    </w:p>
    <w:p w14:paraId="39077031"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40" w:dyaOrig="360" w14:anchorId="0AD3AF81">
          <v:shape id="_x0000_i1072" type="#_x0000_t75" style="width:14.4pt;height:21pt" o:ole="">
            <v:imagedata r:id="rId89" o:title=""/>
          </v:shape>
          <o:OLEObject Type="Embed" ProgID="Equation.3" ShapeID="_x0000_i1072" DrawAspect="Content" ObjectID="_1709999247" r:id="rId90"/>
        </w:object>
      </w:r>
      <w:r w:rsidRPr="00063FDC">
        <w:rPr>
          <w:color w:val="000000" w:themeColor="text1"/>
          <w:sz w:val="24"/>
          <w:szCs w:val="24"/>
          <w:lang w:eastAsia="ru-RU"/>
        </w:rPr>
        <w:t xml:space="preserve">  - количество дней от даты определения СЧА до даты n-ого денежного потока;</w:t>
      </w:r>
    </w:p>
    <w:p w14:paraId="6D67D5F3"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063FDC">
        <w:rPr>
          <w:color w:val="000000" w:themeColor="text1"/>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063FDC">
        <w:rPr>
          <w:color w:val="000000" w:themeColor="text1"/>
          <w:sz w:val="24"/>
          <w:szCs w:val="24"/>
          <w:lang w:eastAsia="ru-RU"/>
        </w:rPr>
        <w:t>, а также в случае изменения суммы основного долга (</w:t>
      </w:r>
      <w:r w:rsidRPr="00063FDC">
        <w:rPr>
          <w:color w:val="000000" w:themeColor="text1"/>
          <w:sz w:val="24"/>
          <w:szCs w:val="24"/>
        </w:rPr>
        <w:t>(пополнения, частичного досрочного погашения основного долга)</w:t>
      </w:r>
      <w:r w:rsidRPr="00063FDC">
        <w:rPr>
          <w:color w:val="000000" w:themeColor="text1"/>
          <w:sz w:val="24"/>
          <w:szCs w:val="24"/>
          <w:lang w:eastAsia="ru-RU"/>
        </w:rPr>
        <w:t>.</w:t>
      </w:r>
    </w:p>
    <w:p w14:paraId="492DA3EA" w14:textId="77777777" w:rsidR="007C5CED" w:rsidRPr="00063FDC" w:rsidRDefault="007C5CED" w:rsidP="007C5CED">
      <w:pPr>
        <w:autoSpaceDN w:val="0"/>
        <w:adjustRightInd w:val="0"/>
        <w:spacing w:line="360" w:lineRule="auto"/>
        <w:ind w:firstLine="709"/>
        <w:jc w:val="both"/>
        <w:rPr>
          <w:b/>
          <w:bCs/>
          <w:iCs/>
          <w:color w:val="000000" w:themeColor="text1"/>
          <w:sz w:val="24"/>
          <w:szCs w:val="24"/>
          <w:lang w:eastAsia="ru-RU"/>
        </w:rPr>
      </w:pPr>
      <w:r w:rsidRPr="00063FDC">
        <w:rPr>
          <w:b/>
          <w:bCs/>
          <w:iCs/>
          <w:color w:val="000000" w:themeColor="text1"/>
          <w:sz w:val="24"/>
          <w:szCs w:val="24"/>
          <w:lang w:eastAsia="ru-RU"/>
        </w:rPr>
        <w:t>Порядок определения ставки дисконтирования</w:t>
      </w:r>
      <w:r w:rsidR="00067428" w:rsidRPr="00063FDC">
        <w:rPr>
          <w:b/>
          <w:bCs/>
          <w:iCs/>
          <w:color w:val="000000" w:themeColor="text1"/>
          <w:sz w:val="24"/>
          <w:szCs w:val="24"/>
          <w:lang w:eastAsia="ru-RU"/>
        </w:rPr>
        <w:t xml:space="preserve"> для депозита</w:t>
      </w:r>
    </w:p>
    <w:p w14:paraId="76F617CE" w14:textId="77777777" w:rsidR="007C5CED" w:rsidRPr="00063FDC" w:rsidRDefault="007C5CED" w:rsidP="007C5CED">
      <w:pPr>
        <w:autoSpaceDN w:val="0"/>
        <w:adjustRightInd w:val="0"/>
        <w:jc w:val="both"/>
        <w:rPr>
          <w:color w:val="000000" w:themeColor="text1"/>
          <w:sz w:val="24"/>
          <w:szCs w:val="24"/>
          <w:lang w:eastAsia="ru-RU"/>
        </w:rPr>
      </w:pPr>
      <w:r w:rsidRPr="00063FDC">
        <w:rPr>
          <w:color w:val="000000" w:themeColor="text1"/>
          <w:sz w:val="24"/>
          <w:szCs w:val="24"/>
          <w:lang w:eastAsia="ru-RU"/>
        </w:rPr>
        <w:t>Ставка дисконтирования определяется по состоянию на:</w:t>
      </w:r>
    </w:p>
    <w:p w14:paraId="59FC24D5"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первоначального признания актива;</w:t>
      </w:r>
    </w:p>
    <w:p w14:paraId="391DE7E8" w14:textId="77777777" w:rsidR="007C5CED" w:rsidRPr="00063FDC" w:rsidRDefault="007C5CED" w:rsidP="00C8239C">
      <w:pPr>
        <w:numPr>
          <w:ilvl w:val="0"/>
          <w:numId w:val="18"/>
        </w:numPr>
        <w:autoSpaceDN w:val="0"/>
        <w:adjustRightInd w:val="0"/>
        <w:spacing w:line="360" w:lineRule="auto"/>
        <w:ind w:left="0" w:firstLine="567"/>
        <w:jc w:val="both"/>
        <w:rPr>
          <w:color w:val="000000" w:themeColor="text1"/>
          <w:sz w:val="24"/>
          <w:szCs w:val="24"/>
          <w:lang w:eastAsia="ru-RU"/>
        </w:rPr>
      </w:pPr>
      <w:r w:rsidRPr="00063FDC">
        <w:rPr>
          <w:color w:val="000000" w:themeColor="text1"/>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изменения ключевой ставки Банка России,</w:t>
      </w:r>
    </w:p>
    <w:p w14:paraId="4E538469" w14:textId="77777777" w:rsidR="007C5CED" w:rsidRPr="00063FDC" w:rsidRDefault="007C5CED" w:rsidP="007C5CED">
      <w:pPr>
        <w:tabs>
          <w:tab w:val="left" w:pos="567"/>
        </w:tabs>
        <w:spacing w:line="360" w:lineRule="auto"/>
        <w:ind w:left="567"/>
        <w:jc w:val="both"/>
        <w:rPr>
          <w:color w:val="000000" w:themeColor="text1"/>
          <w:sz w:val="24"/>
          <w:szCs w:val="24"/>
          <w:lang w:eastAsia="ru-RU"/>
        </w:rPr>
      </w:pPr>
      <w:r w:rsidRPr="00063FDC">
        <w:rPr>
          <w:rFonts w:eastAsia="Batang"/>
          <w:color w:val="000000" w:themeColor="text1"/>
          <w:sz w:val="24"/>
          <w:szCs w:val="24"/>
          <w:lang w:eastAsia="ru-RU"/>
        </w:rPr>
        <w:t xml:space="preserve">- </w:t>
      </w:r>
      <w:r w:rsidRPr="00063FDC">
        <w:rPr>
          <w:color w:val="000000" w:themeColor="text1"/>
          <w:sz w:val="24"/>
          <w:szCs w:val="24"/>
          <w:lang w:eastAsia="ru-RU"/>
        </w:rPr>
        <w:t>каждую дату определения СЧА.</w:t>
      </w:r>
    </w:p>
    <w:p w14:paraId="750BA16F" w14:textId="77777777" w:rsidR="009A2A2B" w:rsidRPr="00063FDC" w:rsidRDefault="009A2A2B" w:rsidP="007C5CED">
      <w:pPr>
        <w:tabs>
          <w:tab w:val="left" w:pos="567"/>
        </w:tabs>
        <w:spacing w:line="360" w:lineRule="auto"/>
        <w:ind w:left="567"/>
        <w:jc w:val="both"/>
        <w:rPr>
          <w:color w:val="000000" w:themeColor="text1"/>
          <w:sz w:val="24"/>
          <w:szCs w:val="24"/>
          <w:lang w:eastAsia="ru-RU"/>
        </w:rPr>
      </w:pPr>
    </w:p>
    <w:p w14:paraId="5A3D11BD" w14:textId="77777777" w:rsidR="007C5CED" w:rsidRPr="00063FDC" w:rsidRDefault="007C5CED" w:rsidP="007C5CED">
      <w:pPr>
        <w:autoSpaceDN w:val="0"/>
        <w:adjustRightInd w:val="0"/>
        <w:spacing w:line="360" w:lineRule="auto"/>
        <w:ind w:firstLine="709"/>
        <w:jc w:val="both"/>
        <w:rPr>
          <w:b/>
          <w:color w:val="000000" w:themeColor="text1"/>
          <w:sz w:val="24"/>
          <w:szCs w:val="24"/>
          <w:lang w:eastAsia="ru-RU"/>
        </w:rPr>
      </w:pPr>
      <w:r w:rsidRPr="00063FDC">
        <w:rPr>
          <w:b/>
          <w:color w:val="000000" w:themeColor="text1"/>
          <w:sz w:val="24"/>
          <w:szCs w:val="24"/>
          <w:lang w:eastAsia="ru-RU"/>
        </w:rPr>
        <w:t>Ставка дисконтирования равна:</w:t>
      </w:r>
    </w:p>
    <w:p w14:paraId="73DE6795" w14:textId="0B0482B8" w:rsidR="007C5CED" w:rsidRPr="00063FDC" w:rsidRDefault="007C5CED"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w:r w:rsidRPr="00063FDC">
        <w:rPr>
          <w:rFonts w:eastAsia="Batang"/>
          <w:color w:val="000000" w:themeColor="text1"/>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063FDC">
        <w:rPr>
          <w:rFonts w:eastAsia="Batang"/>
          <w:color w:val="000000" w:themeColor="text1"/>
          <w:sz w:val="24"/>
          <w:szCs w:val="24"/>
          <w:lang w:eastAsia="ru-RU"/>
        </w:rPr>
        <w:t xml:space="preserve"> колебаний</w:t>
      </w:r>
      <w:r w:rsidRPr="00063FDC">
        <w:rPr>
          <w:rFonts w:eastAsia="Batang"/>
          <w:color w:val="000000" w:themeColor="text1"/>
          <w:sz w:val="24"/>
          <w:szCs w:val="24"/>
          <w:lang w:eastAsia="ru-RU"/>
        </w:rPr>
        <w:t xml:space="preserve"> </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Pr="00063FDC">
        <w:rPr>
          <w:rFonts w:eastAsia="Batang"/>
          <w:color w:val="000000" w:themeColor="text1"/>
          <w:sz w:val="24"/>
          <w:szCs w:val="24"/>
          <w:lang w:eastAsia="ru-RU"/>
        </w:rPr>
        <w:t>месяцев, начиная от последней раскрытой на сайте Банка России ставки</w:t>
      </w:r>
      <w:r w:rsidRPr="00063FDC" w:rsidDel="00A73719">
        <w:rPr>
          <w:rFonts w:eastAsia="Batang"/>
          <w:color w:val="000000" w:themeColor="text1"/>
          <w:sz w:val="24"/>
          <w:szCs w:val="24"/>
          <w:lang w:eastAsia="ru-RU"/>
        </w:rPr>
        <w:t>;</w:t>
      </w:r>
    </w:p>
    <w:p w14:paraId="3638BCDC" w14:textId="47177AB3" w:rsidR="007C5CED" w:rsidRPr="00063FDC" w:rsidRDefault="00B15290"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063FDC">
        <w:rPr>
          <w:rFonts w:eastAsia="Batang"/>
          <w:color w:val="000000" w:themeColor="text1"/>
          <w:sz w:val="24"/>
          <w:szCs w:val="24"/>
          <w:lang w:eastAsia="ru-RU"/>
        </w:rPr>
        <w:t xml:space="preserve"> колебаний (</w:t>
      </w:r>
      <w:r w:rsidR="007C5CED"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007C5CED"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007C5CED" w:rsidRPr="00063FDC">
        <w:rPr>
          <w:rFonts w:eastAsia="Batang"/>
          <w:color w:val="000000" w:themeColor="text1"/>
          <w:sz w:val="24"/>
          <w:szCs w:val="24"/>
          <w:lang w:eastAsia="ru-RU"/>
        </w:rPr>
        <w:t>месяцев, начиная от последней раскрытой на сайте Банка России ставки;</w:t>
      </w:r>
    </w:p>
    <w:p w14:paraId="0001A0F7" w14:textId="7ECC6D11" w:rsidR="007C5CED" w:rsidRPr="00063FDC" w:rsidRDefault="00B15290" w:rsidP="00C8239C">
      <w:pPr>
        <w:numPr>
          <w:ilvl w:val="0"/>
          <w:numId w:val="17"/>
        </w:numPr>
        <w:tabs>
          <w:tab w:val="left" w:pos="284"/>
        </w:tabs>
        <w:suppressAutoHyphens w:val="0"/>
        <w:autoSpaceDE/>
        <w:spacing w:line="360" w:lineRule="auto"/>
        <w:ind w:left="0" w:firstLine="283"/>
        <w:contextualSpacing/>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по договору не установлена</w:t>
      </w:r>
      <w:r w:rsidR="007C5CED" w:rsidRPr="00063FDC">
        <w:rPr>
          <w:color w:val="000000" w:themeColor="text1"/>
          <w:sz w:val="24"/>
          <w:szCs w:val="24"/>
        </w:rPr>
        <w:t>.</w:t>
      </w:r>
    </w:p>
    <w:p w14:paraId="5988DD59" w14:textId="77777777" w:rsidR="007C5CED" w:rsidRPr="00063FDC" w:rsidRDefault="007C5CED" w:rsidP="007C5CED">
      <w:pPr>
        <w:tabs>
          <w:tab w:val="left" w:pos="567"/>
        </w:tabs>
        <w:spacing w:line="360" w:lineRule="auto"/>
        <w:contextualSpacing/>
        <w:jc w:val="both"/>
        <w:rPr>
          <w:b/>
          <w:color w:val="000000" w:themeColor="text1"/>
          <w:sz w:val="24"/>
          <w:szCs w:val="24"/>
        </w:rPr>
      </w:pPr>
      <w:r w:rsidRPr="00063FDC">
        <w:rPr>
          <w:b/>
          <w:color w:val="000000" w:themeColor="text1"/>
          <w:sz w:val="24"/>
          <w:szCs w:val="24"/>
        </w:rPr>
        <w:t>Границы диапазона волатильности:</w:t>
      </w:r>
    </w:p>
    <w:p w14:paraId="72A09352"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Минимальная граница определяется по формуле:</w:t>
      </w:r>
    </w:p>
    <w:p w14:paraId="15409F63" w14:textId="77777777" w:rsidR="007C5CED" w:rsidRPr="00063FDC" w:rsidRDefault="007C5CED" w:rsidP="007C5CED">
      <w:pPr>
        <w:tabs>
          <w:tab w:val="left" w:pos="567"/>
        </w:tabs>
        <w:contextualSpacing/>
        <w:jc w:val="both"/>
        <w:rPr>
          <w:rFonts w:eastAsiaTheme="minorEastAsia"/>
          <w:color w:val="000000" w:themeColor="text1"/>
          <w:sz w:val="24"/>
          <w:szCs w:val="24"/>
        </w:rPr>
      </w:pPr>
    </w:p>
    <w:p w14:paraId="6B2F5056" w14:textId="77777777" w:rsidR="007C5CED" w:rsidRPr="00063FDC" w:rsidRDefault="00B15290" w:rsidP="007C5CED">
      <w:pPr>
        <w:tabs>
          <w:tab w:val="left" w:pos="567"/>
        </w:tabs>
        <w:contextualSpacing/>
        <w:jc w:val="both"/>
        <w:rPr>
          <w:rFonts w:eastAsiaTheme="minorEastAsia"/>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*(1-KV)</m:t>
          </m:r>
        </m:oMath>
      </m:oMathPara>
    </w:p>
    <w:p w14:paraId="1129D600" w14:textId="77777777" w:rsidR="007C5CED" w:rsidRPr="00063FDC" w:rsidRDefault="007C5CED" w:rsidP="007C5CED">
      <w:pPr>
        <w:tabs>
          <w:tab w:val="left" w:pos="567"/>
        </w:tabs>
        <w:contextualSpacing/>
        <w:jc w:val="both"/>
        <w:rPr>
          <w:color w:val="000000" w:themeColor="text1"/>
          <w:sz w:val="24"/>
          <w:szCs w:val="24"/>
        </w:rPr>
      </w:pPr>
    </w:p>
    <w:p w14:paraId="0D038110"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Максимальная граница – определяется по формуле:</w:t>
      </w:r>
    </w:p>
    <w:p w14:paraId="5A7B0C17" w14:textId="77777777" w:rsidR="007C5CED" w:rsidRPr="00063FDC" w:rsidRDefault="007C5CED" w:rsidP="007C5CED">
      <w:pPr>
        <w:tabs>
          <w:tab w:val="left" w:pos="567"/>
        </w:tabs>
        <w:contextualSpacing/>
        <w:jc w:val="center"/>
        <w:rPr>
          <w:rFonts w:eastAsiaTheme="minorEastAsia"/>
          <w:color w:val="000000" w:themeColor="text1"/>
          <w:sz w:val="24"/>
          <w:szCs w:val="24"/>
        </w:rPr>
      </w:pPr>
    </w:p>
    <w:p w14:paraId="3D8BC0EC" w14:textId="77777777" w:rsidR="007C5CED" w:rsidRPr="00063FDC" w:rsidRDefault="00B15290" w:rsidP="007C5CED">
      <w:pPr>
        <w:tabs>
          <w:tab w:val="left" w:pos="567"/>
        </w:tabs>
        <w:contextualSpacing/>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 ср.рын.</m:t>
            </m:r>
          </m:sub>
        </m:sSub>
        <m:r>
          <w:rPr>
            <w:rFonts w:ascii="Cambria Math" w:hAnsi="Cambria Math"/>
            <w:color w:val="000000" w:themeColor="text1"/>
            <w:sz w:val="24"/>
            <w:szCs w:val="24"/>
          </w:rPr>
          <m:t>*(1+KV</m:t>
        </m:r>
      </m:oMath>
      <w:r w:rsidR="007C5CED" w:rsidRPr="00063FDC">
        <w:rPr>
          <w:rFonts w:eastAsiaTheme="minorEastAsia"/>
          <w:color w:val="000000" w:themeColor="text1"/>
          <w:sz w:val="24"/>
          <w:szCs w:val="24"/>
        </w:rPr>
        <w:t>)</w:t>
      </w:r>
    </w:p>
    <w:p w14:paraId="61BB060C" w14:textId="368C2BF5" w:rsidR="007C5CED" w:rsidRPr="00063FDC" w:rsidRDefault="007C5CED" w:rsidP="00070424">
      <w:pPr>
        <w:tabs>
          <w:tab w:val="left" w:pos="284"/>
        </w:tabs>
        <w:contextualSpacing/>
        <w:jc w:val="both"/>
        <w:rPr>
          <w:color w:val="000000" w:themeColor="text1"/>
          <w:sz w:val="24"/>
          <w:szCs w:val="24"/>
        </w:rPr>
      </w:pPr>
    </w:p>
    <w:p w14:paraId="5EE3F77D" w14:textId="6ACB0528" w:rsidR="007C5CED" w:rsidRPr="00063FDC" w:rsidRDefault="007C5CED" w:rsidP="007C5CED">
      <w:pPr>
        <w:tabs>
          <w:tab w:val="left" w:pos="567"/>
        </w:tabs>
        <w:spacing w:line="360" w:lineRule="auto"/>
        <w:ind w:firstLine="567"/>
        <w:jc w:val="both"/>
        <w:rPr>
          <w:color w:val="000000" w:themeColor="text1"/>
          <w:sz w:val="24"/>
          <w:szCs w:val="24"/>
        </w:rPr>
      </w:pPr>
      <w:r w:rsidRPr="00063FDC">
        <w:rPr>
          <w:color w:val="000000" w:themeColor="text1"/>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063FDC" w:rsidRDefault="007C5CED" w:rsidP="007C5CED">
      <w:pPr>
        <w:ind w:firstLine="426"/>
        <w:jc w:val="center"/>
        <w:rPr>
          <w:color w:val="000000" w:themeColor="text1"/>
          <w:sz w:val="24"/>
          <w:szCs w:val="24"/>
          <w:lang w:val="en-US"/>
        </w:rPr>
      </w:pPr>
      <w:r w:rsidRPr="00063FDC">
        <w:rPr>
          <w:color w:val="000000" w:themeColor="text1"/>
          <w:sz w:val="24"/>
          <w:szCs w:val="24"/>
          <w:lang w:val="en-US"/>
        </w:rPr>
        <w:t>KV=</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den>
        </m:f>
      </m:oMath>
      <w:r w:rsidRPr="00063FDC">
        <w:rPr>
          <w:color w:val="000000" w:themeColor="text1"/>
          <w:sz w:val="24"/>
          <w:szCs w:val="24"/>
          <w:lang w:val="en-US"/>
        </w:rPr>
        <w:t xml:space="preserve"> ,</w:t>
      </w:r>
    </w:p>
    <w:p w14:paraId="3EF9A26B"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09D8C81A" w14:textId="0991D176" w:rsidR="007C5CED" w:rsidRPr="00063FDC" w:rsidRDefault="007C5CED" w:rsidP="00070424">
      <w:pPr>
        <w:jc w:val="both"/>
        <w:rPr>
          <w:i/>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542635" w:rsidRPr="00063FDC">
        <w:rPr>
          <w:color w:val="000000" w:themeColor="text1"/>
          <w:sz w:val="24"/>
          <w:szCs w:val="24"/>
        </w:rPr>
        <w:t xml:space="preserve">3 </w:t>
      </w:r>
      <w:r w:rsidRPr="00063FDC">
        <w:rPr>
          <w:color w:val="000000" w:themeColor="text1"/>
          <w:sz w:val="24"/>
          <w:szCs w:val="24"/>
        </w:rPr>
        <w:t>месяцев,</w:t>
      </w:r>
    </w:p>
    <w:p w14:paraId="5C815021" w14:textId="3A1D4E25" w:rsidR="007C5CED" w:rsidRPr="00063FDC" w:rsidRDefault="007C5CED" w:rsidP="00070424">
      <w:pPr>
        <w:spacing w:line="360" w:lineRule="auto"/>
        <w:jc w:val="both"/>
        <w:rPr>
          <w:color w:val="000000" w:themeColor="text1"/>
          <w:sz w:val="24"/>
          <w:szCs w:val="24"/>
        </w:rPr>
      </w:pPr>
      <m:oMath>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w:t>
      </w:r>
    </w:p>
    <w:p w14:paraId="67EBF527" w14:textId="114BB6B7" w:rsidR="007C5CED" w:rsidRPr="00063FDC" w:rsidRDefault="00B1529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063FDC">
        <w:rPr>
          <w:color w:val="000000" w:themeColor="text1"/>
          <w:sz w:val="24"/>
          <w:szCs w:val="24"/>
        </w:rPr>
        <w:t xml:space="preserve">3 </w:t>
      </w:r>
      <w:r w:rsidR="007C5CED" w:rsidRPr="00063FDC">
        <w:rPr>
          <w:color w:val="000000" w:themeColor="text1"/>
          <w:sz w:val="24"/>
          <w:szCs w:val="24"/>
        </w:rPr>
        <w:t>месяцев, начиная от последней раскрытой на сайте Банка России ставки;</w:t>
      </w:r>
    </w:p>
    <w:p w14:paraId="6228B9F9" w14:textId="77777777" w:rsidR="007C5CED" w:rsidRPr="00063FDC" w:rsidRDefault="007C5CED" w:rsidP="00070424">
      <w:pPr>
        <w:tabs>
          <w:tab w:val="left" w:pos="567"/>
        </w:tabs>
        <w:spacing w:line="360" w:lineRule="auto"/>
        <w:jc w:val="both"/>
        <w:rPr>
          <w:color w:val="000000" w:themeColor="text1"/>
          <w:sz w:val="24"/>
          <w:szCs w:val="24"/>
        </w:rPr>
      </w:pPr>
    </w:p>
    <w:p w14:paraId="4F73795F" w14:textId="77777777" w:rsidR="007C5CED" w:rsidRPr="00063FDC" w:rsidRDefault="00B15290" w:rsidP="00070424">
      <w:pPr>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color w:val="000000" w:themeColor="text1"/>
          <w:sz w:val="24"/>
          <w:szCs w:val="24"/>
        </w:rPr>
        <w:t xml:space="preserve"> - оценка средневзвешенной рыночной процентной ставки, определенная по формуле:</w:t>
      </w:r>
    </w:p>
    <w:p w14:paraId="1C040B47" w14:textId="77777777" w:rsidR="007C5CED" w:rsidRPr="00063FDC" w:rsidRDefault="00B15290" w:rsidP="00070424">
      <w:pPr>
        <w:spacing w:before="120"/>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д.о.</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oMath>
      <w:r w:rsidR="007C5CED" w:rsidRPr="00063FDC">
        <w:rPr>
          <w:color w:val="000000" w:themeColor="text1"/>
          <w:sz w:val="24"/>
          <w:szCs w:val="24"/>
        </w:rPr>
        <w:t>,</w:t>
      </w:r>
    </w:p>
    <w:p w14:paraId="62316D7F" w14:textId="77777777" w:rsidR="007C5CED" w:rsidRPr="00063FDC" w:rsidRDefault="007C5CED" w:rsidP="00070424">
      <w:pPr>
        <w:rPr>
          <w:i/>
          <w:color w:val="000000" w:themeColor="text1"/>
          <w:sz w:val="24"/>
          <w:szCs w:val="24"/>
        </w:rPr>
      </w:pPr>
      <w:r w:rsidRPr="00063FDC">
        <w:rPr>
          <w:i/>
          <w:color w:val="000000" w:themeColor="text1"/>
          <w:sz w:val="24"/>
          <w:szCs w:val="24"/>
        </w:rPr>
        <w:t>где:</w:t>
      </w:r>
    </w:p>
    <w:p w14:paraId="1B017428" w14:textId="4D2A98D6" w:rsidR="007C5CED" w:rsidRPr="00063FDC" w:rsidRDefault="00B1529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rFonts w:eastAsiaTheme="minorEastAsia"/>
          <w:color w:val="000000" w:themeColor="text1"/>
          <w:sz w:val="24"/>
          <w:szCs w:val="24"/>
        </w:rPr>
        <w:t xml:space="preserve"> </w:t>
      </w:r>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063FDC" w:rsidDel="00591A70" w:rsidRDefault="00B15290" w:rsidP="00070424">
      <w:pPr>
        <w:spacing w:line="360" w:lineRule="auto"/>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m:rPr>
                <m:sty m:val="p"/>
              </m:rPr>
              <w:rPr>
                <w:rFonts w:ascii="Cambria Math" w:hAnsi="Cambria Math"/>
                <w:color w:val="000000" w:themeColor="text1"/>
                <w:sz w:val="24"/>
                <w:szCs w:val="24"/>
              </w:rPr>
              <m:t>д.о.</m:t>
            </m:r>
          </m:sub>
        </m:sSub>
      </m:oMath>
      <w:r w:rsidR="007C5CED" w:rsidRPr="00063FDC" w:rsidDel="00591A70">
        <w:rPr>
          <w:color w:val="000000" w:themeColor="text1"/>
          <w:sz w:val="24"/>
          <w:szCs w:val="24"/>
        </w:rPr>
        <w:t xml:space="preserve"> - ключевая ставка ЦБ РФ, установленная на дату оценки;</w:t>
      </w:r>
    </w:p>
    <w:p w14:paraId="0E364C6C" w14:textId="77777777" w:rsidR="007C5CED" w:rsidRPr="00063FDC" w:rsidDel="00591A70" w:rsidRDefault="00B1529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oMath>
      <w:r w:rsidR="007C5CED" w:rsidRPr="00063FDC" w:rsidDel="00591A70">
        <w:rPr>
          <w:color w:val="000000" w:themeColor="text1"/>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sidDel="00591A70">
        <w:rPr>
          <w:color w:val="000000" w:themeColor="text1"/>
          <w:sz w:val="24"/>
          <w:szCs w:val="24"/>
        </w:rPr>
        <w:t>.</w:t>
      </w:r>
    </w:p>
    <w:p w14:paraId="541E83E1" w14:textId="77777777" w:rsidR="007C5CED" w:rsidRPr="00063FDC" w:rsidDel="00591A70" w:rsidRDefault="007C5CED" w:rsidP="00070424">
      <w:pPr>
        <w:spacing w:before="120" w:line="360" w:lineRule="auto"/>
        <w:jc w:val="both"/>
        <w:rPr>
          <w:color w:val="000000" w:themeColor="text1"/>
          <w:sz w:val="24"/>
          <w:szCs w:val="24"/>
        </w:rPr>
      </w:pPr>
      <w:r w:rsidRPr="00063FDC" w:rsidDel="00591A70">
        <w:rPr>
          <w:color w:val="000000" w:themeColor="text1"/>
          <w:sz w:val="24"/>
          <w:szCs w:val="24"/>
        </w:rPr>
        <w:t>Средняя за календарный месяц ключевая ставка ЦБ РФ рассчитывается по формуле:</w:t>
      </w:r>
    </w:p>
    <w:p w14:paraId="31B634DE" w14:textId="77777777" w:rsidR="007C5CED" w:rsidRPr="00063FDC" w:rsidDel="00591A70" w:rsidRDefault="00B15290" w:rsidP="00070424">
      <w:pPr>
        <w:spacing w:before="120" w:line="360" w:lineRule="auto"/>
        <w:jc w:val="both"/>
        <w:rPr>
          <w:i/>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supHide m:val="1"/>
                  <m:ctrlPr>
                    <w:rPr>
                      <w:rFonts w:ascii="Cambria Math" w:hAnsi="Cambria Math"/>
                      <w:i/>
                      <w:color w:val="000000" w:themeColor="text1"/>
                      <w:sz w:val="24"/>
                      <w:szCs w:val="24"/>
                    </w:rPr>
                  </m:ctrlPr>
                </m:naryPr>
                <m:sub>
                  <m:r>
                    <w:rPr>
                      <w:rFonts w:ascii="Cambria Math" w:hAnsi="Cambria Math"/>
                      <w:color w:val="000000" w:themeColor="text1"/>
                      <w:sz w:val="24"/>
                      <w:szCs w:val="24"/>
                    </w:rPr>
                    <m:t>i</m:t>
                  </m: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e>
              </m:nary>
            </m:num>
            <m:den>
              <m:r>
                <w:rPr>
                  <w:rFonts w:ascii="Cambria Math" w:hAnsi="Cambria Math"/>
                  <w:color w:val="000000" w:themeColor="text1"/>
                  <w:sz w:val="24"/>
                  <w:szCs w:val="24"/>
                </w:rPr>
                <m:t>T</m:t>
              </m:r>
            </m:den>
          </m:f>
          <m:r>
            <w:rPr>
              <w:rFonts w:ascii="Cambria Math" w:hAnsi="Cambria Math"/>
              <w:color w:val="000000" w:themeColor="text1"/>
              <w:sz w:val="24"/>
              <w:szCs w:val="24"/>
            </w:rPr>
            <m:t>,</m:t>
          </m:r>
        </m:oMath>
      </m:oMathPara>
    </w:p>
    <w:p w14:paraId="3616F23B" w14:textId="77777777" w:rsidR="007C5CED" w:rsidRPr="00063FDC" w:rsidDel="00591A70" w:rsidRDefault="007C5CED" w:rsidP="00070424">
      <w:pPr>
        <w:spacing w:line="360" w:lineRule="auto"/>
        <w:jc w:val="both"/>
        <w:rPr>
          <w:i/>
          <w:color w:val="000000" w:themeColor="text1"/>
          <w:sz w:val="24"/>
          <w:szCs w:val="24"/>
        </w:rPr>
      </w:pPr>
      <w:r w:rsidRPr="00063FDC" w:rsidDel="00591A70">
        <w:rPr>
          <w:i/>
          <w:color w:val="000000" w:themeColor="text1"/>
          <w:sz w:val="24"/>
          <w:szCs w:val="24"/>
        </w:rPr>
        <w:t>где:</w:t>
      </w:r>
    </w:p>
    <w:p w14:paraId="29578326" w14:textId="77777777" w:rsidR="007C5CED" w:rsidRPr="00063FDC" w:rsidDel="00591A70" w:rsidRDefault="007C5CED" w:rsidP="00070424">
      <w:pPr>
        <w:spacing w:line="360" w:lineRule="auto"/>
        <w:jc w:val="both"/>
        <w:rPr>
          <w:color w:val="000000" w:themeColor="text1"/>
          <w:sz w:val="24"/>
          <w:szCs w:val="24"/>
        </w:rPr>
      </w:pPr>
      <m:oMath>
        <m:r>
          <m:rPr>
            <m:sty m:val="p"/>
          </m:rPr>
          <w:rPr>
            <w:rFonts w:ascii="Cambria Math" w:hAnsi="Cambria Math"/>
            <w:color w:val="000000" w:themeColor="text1"/>
            <w:sz w:val="24"/>
            <w:szCs w:val="24"/>
          </w:rPr>
          <m:t>T</m:t>
        </m:r>
      </m:oMath>
      <w:r w:rsidRPr="00063FDC" w:rsidDel="00591A70">
        <w:rPr>
          <w:color w:val="000000" w:themeColor="text1"/>
          <w:sz w:val="24"/>
          <w:szCs w:val="24"/>
        </w:rPr>
        <w:t xml:space="preserve"> - количество дней в календарном месяце, за который рассчитывается процентная ставка;</w:t>
      </w:r>
    </w:p>
    <w:p w14:paraId="1D4F07BF" w14:textId="77777777" w:rsidR="007C5CED" w:rsidRPr="00063FDC" w:rsidDel="00591A70" w:rsidRDefault="00B15290" w:rsidP="00070424">
      <w:pPr>
        <w:spacing w:line="360" w:lineRule="auto"/>
        <w:jc w:val="both"/>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 xml:space="preserve"> - ключевая ставка ЦБ РФ, действовавшая в </w:t>
      </w:r>
      <w:r w:rsidR="007C5CED" w:rsidRPr="00063FDC" w:rsidDel="00591A70">
        <w:rPr>
          <w:color w:val="000000" w:themeColor="text1"/>
          <w:sz w:val="24"/>
          <w:szCs w:val="24"/>
          <w:lang w:val="en-US"/>
        </w:rPr>
        <w:t>i</w:t>
      </w:r>
      <w:r w:rsidR="007C5CED" w:rsidRPr="00063FDC" w:rsidDel="00591A70">
        <w:rPr>
          <w:color w:val="000000" w:themeColor="text1"/>
          <w:sz w:val="24"/>
          <w:szCs w:val="24"/>
        </w:rPr>
        <w:t>-ом периоде календарного месяца,</w:t>
      </w:r>
    </w:p>
    <w:p w14:paraId="32E712AD" w14:textId="2ACD5FEB" w:rsidR="006C23FE" w:rsidRPr="00063FDC" w:rsidDel="00591A70" w:rsidRDefault="00B1529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oMath>
      <w:r w:rsidR="007C5CED" w:rsidRPr="00063FDC" w:rsidDel="00591A70">
        <w:rPr>
          <w:color w:val="000000" w:themeColor="text1"/>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w:t>
      </w:r>
    </w:p>
    <w:p w14:paraId="65C4582D" w14:textId="77777777" w:rsidR="007C5CED" w:rsidRPr="00063FDC" w:rsidRDefault="007C5CED" w:rsidP="007C5CED">
      <w:pPr>
        <w:jc w:val="both"/>
        <w:rPr>
          <w:b/>
          <w:color w:val="000000" w:themeColor="text1"/>
          <w:sz w:val="24"/>
          <w:szCs w:val="24"/>
        </w:rPr>
      </w:pPr>
      <w:r w:rsidRPr="00063FDC">
        <w:rPr>
          <w:b/>
          <w:color w:val="000000" w:themeColor="text1"/>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063FDC" w14:paraId="0EEE0A97" w14:textId="77777777" w:rsidTr="00EA0790">
        <w:tc>
          <w:tcPr>
            <w:tcW w:w="1951" w:type="dxa"/>
            <w:shd w:val="clear" w:color="auto" w:fill="FFFFFF" w:themeFill="background1"/>
          </w:tcPr>
          <w:p w14:paraId="3877B4AD" w14:textId="77777777" w:rsidR="00AB5AD1" w:rsidRPr="00063FDC" w:rsidRDefault="007C5CED" w:rsidP="00AB5AD1">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Вид актива</w:t>
            </w:r>
          </w:p>
          <w:p w14:paraId="635B3420"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p>
        </w:tc>
        <w:tc>
          <w:tcPr>
            <w:tcW w:w="3472" w:type="dxa"/>
            <w:shd w:val="clear" w:color="auto" w:fill="FFFFFF" w:themeFill="background1"/>
          </w:tcPr>
          <w:p w14:paraId="3CEBA351"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Рыночная ставка</w:t>
            </w:r>
          </w:p>
        </w:tc>
        <w:tc>
          <w:tcPr>
            <w:tcW w:w="4466" w:type="dxa"/>
            <w:shd w:val="clear" w:color="auto" w:fill="FFFFFF" w:themeFill="background1"/>
          </w:tcPr>
          <w:p w14:paraId="36E51F49"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Источники информации</w:t>
            </w:r>
          </w:p>
        </w:tc>
      </w:tr>
      <w:tr w:rsidR="007C5CED" w:rsidRPr="00063FDC" w14:paraId="6618FD5A" w14:textId="77777777" w:rsidTr="00EA0790">
        <w:tc>
          <w:tcPr>
            <w:tcW w:w="1951" w:type="dxa"/>
          </w:tcPr>
          <w:p w14:paraId="5D18F8E1"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Вклад (депозит)</w:t>
            </w:r>
          </w:p>
        </w:tc>
        <w:tc>
          <w:tcPr>
            <w:tcW w:w="3472" w:type="dxa"/>
          </w:tcPr>
          <w:p w14:paraId="2210A8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063FDC" w:rsidRDefault="007C5CED" w:rsidP="00EA0790">
            <w:pPr>
              <w:spacing w:line="276" w:lineRule="auto"/>
              <w:jc w:val="both"/>
              <w:rPr>
                <w:color w:val="000000" w:themeColor="text1"/>
                <w:sz w:val="24"/>
                <w:szCs w:val="24"/>
              </w:rPr>
            </w:pPr>
          </w:p>
          <w:p w14:paraId="1C4E1A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 xml:space="preserve"> </w:t>
            </w:r>
          </w:p>
        </w:tc>
        <w:tc>
          <w:tcPr>
            <w:tcW w:w="4466" w:type="dxa"/>
          </w:tcPr>
          <w:p w14:paraId="7B4E37C9" w14:textId="77777777" w:rsidR="007C5CED" w:rsidRPr="00063FDC" w:rsidRDefault="007C5CED" w:rsidP="00EA0790">
            <w:pPr>
              <w:spacing w:line="276" w:lineRule="auto"/>
              <w:ind w:left="106"/>
              <w:contextualSpacing/>
              <w:jc w:val="both"/>
              <w:rPr>
                <w:color w:val="000000" w:themeColor="text1"/>
                <w:sz w:val="24"/>
                <w:szCs w:val="24"/>
              </w:rPr>
            </w:pPr>
            <w:r w:rsidRPr="00063FDC">
              <w:rPr>
                <w:color w:val="000000" w:themeColor="text1"/>
                <w:sz w:val="24"/>
                <w:szCs w:val="24"/>
              </w:rPr>
              <w:t xml:space="preserve">Официальный сайт Банка России </w:t>
            </w:r>
            <w:hyperlink r:id="rId91" w:history="1">
              <w:r w:rsidRPr="00063FDC">
                <w:rPr>
                  <w:color w:val="000000" w:themeColor="text1"/>
                  <w:sz w:val="24"/>
                  <w:szCs w:val="24"/>
                </w:rPr>
                <w:t>http://www.cbr.ru/statistics/?PrtId=int_rat</w:t>
              </w:r>
            </w:hyperlink>
            <w:r w:rsidRPr="00063FDC">
              <w:rPr>
                <w:color w:val="000000" w:themeColor="text1"/>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063FDC" w:rsidRDefault="007C5CED" w:rsidP="00EA0790">
            <w:pPr>
              <w:spacing w:line="276" w:lineRule="auto"/>
              <w:ind w:left="106"/>
              <w:contextualSpacing/>
              <w:jc w:val="both"/>
              <w:rPr>
                <w:color w:val="000000" w:themeColor="text1"/>
                <w:sz w:val="24"/>
                <w:szCs w:val="24"/>
              </w:rPr>
            </w:pPr>
          </w:p>
          <w:p w14:paraId="76DF7FBA" w14:textId="77777777" w:rsidR="007C5CED" w:rsidRPr="00063FDC" w:rsidRDefault="007C5CED" w:rsidP="00EA0790">
            <w:pPr>
              <w:spacing w:line="276" w:lineRule="auto"/>
              <w:ind w:left="106"/>
              <w:contextualSpacing/>
              <w:jc w:val="both"/>
              <w:rPr>
                <w:color w:val="000000" w:themeColor="text1"/>
                <w:sz w:val="24"/>
                <w:szCs w:val="24"/>
              </w:rPr>
            </w:pPr>
          </w:p>
          <w:p w14:paraId="7733F4E9" w14:textId="77777777" w:rsidR="007C5CED" w:rsidRPr="00063FDC" w:rsidRDefault="007C5CED" w:rsidP="00EA0790">
            <w:pPr>
              <w:spacing w:line="276" w:lineRule="auto"/>
              <w:ind w:left="106"/>
              <w:contextualSpacing/>
              <w:jc w:val="both"/>
              <w:rPr>
                <w:color w:val="000000" w:themeColor="text1"/>
                <w:sz w:val="24"/>
                <w:szCs w:val="24"/>
              </w:rPr>
            </w:pPr>
          </w:p>
          <w:p w14:paraId="1F47869B" w14:textId="77777777" w:rsidR="007C5CED" w:rsidRPr="00063FDC" w:rsidRDefault="007C5CED" w:rsidP="00EA0790">
            <w:pPr>
              <w:spacing w:line="276" w:lineRule="auto"/>
              <w:ind w:left="106"/>
              <w:contextualSpacing/>
              <w:jc w:val="both"/>
              <w:rPr>
                <w:color w:val="000000" w:themeColor="text1"/>
                <w:sz w:val="24"/>
                <w:szCs w:val="24"/>
              </w:rPr>
            </w:pPr>
          </w:p>
          <w:p w14:paraId="1603BACF" w14:textId="77777777" w:rsidR="007C5CED" w:rsidRPr="00063FDC" w:rsidRDefault="007C5CED" w:rsidP="00EA0790">
            <w:pPr>
              <w:spacing w:line="276" w:lineRule="auto"/>
              <w:ind w:left="106"/>
              <w:contextualSpacing/>
              <w:jc w:val="both"/>
              <w:rPr>
                <w:color w:val="000000" w:themeColor="text1"/>
                <w:sz w:val="24"/>
                <w:szCs w:val="24"/>
              </w:rPr>
            </w:pPr>
          </w:p>
          <w:p w14:paraId="28224A27" w14:textId="77777777" w:rsidR="007C5CED" w:rsidRPr="00063FDC" w:rsidRDefault="007C5CED" w:rsidP="00EA0790">
            <w:pPr>
              <w:spacing w:line="276" w:lineRule="auto"/>
              <w:ind w:left="106"/>
              <w:contextualSpacing/>
              <w:jc w:val="both"/>
              <w:rPr>
                <w:color w:val="000000" w:themeColor="text1"/>
                <w:sz w:val="24"/>
                <w:szCs w:val="24"/>
              </w:rPr>
            </w:pPr>
          </w:p>
          <w:p w14:paraId="4683816D" w14:textId="77777777" w:rsidR="007C5CED" w:rsidRPr="00063FDC" w:rsidRDefault="007C5CED" w:rsidP="00EA0790">
            <w:pPr>
              <w:spacing w:line="276" w:lineRule="auto"/>
              <w:ind w:left="106"/>
              <w:contextualSpacing/>
              <w:jc w:val="both"/>
              <w:rPr>
                <w:color w:val="000000" w:themeColor="text1"/>
                <w:sz w:val="24"/>
                <w:szCs w:val="24"/>
              </w:rPr>
            </w:pPr>
          </w:p>
          <w:p w14:paraId="3E090279" w14:textId="77777777" w:rsidR="007C5CED" w:rsidRPr="00063FDC" w:rsidRDefault="007C5CED" w:rsidP="00EA0790">
            <w:pPr>
              <w:spacing w:line="276" w:lineRule="auto"/>
              <w:ind w:left="106"/>
              <w:contextualSpacing/>
              <w:jc w:val="both"/>
              <w:rPr>
                <w:color w:val="000000" w:themeColor="text1"/>
                <w:sz w:val="24"/>
                <w:szCs w:val="24"/>
              </w:rPr>
            </w:pPr>
          </w:p>
          <w:p w14:paraId="7AB0A78E" w14:textId="77777777" w:rsidR="007C5CED" w:rsidRPr="00063FDC" w:rsidRDefault="007C5CED" w:rsidP="00EA0790">
            <w:pPr>
              <w:spacing w:line="276" w:lineRule="auto"/>
              <w:ind w:left="106"/>
              <w:contextualSpacing/>
              <w:jc w:val="both"/>
              <w:rPr>
                <w:color w:val="000000" w:themeColor="text1"/>
                <w:sz w:val="24"/>
                <w:szCs w:val="24"/>
              </w:rPr>
            </w:pPr>
          </w:p>
        </w:tc>
      </w:tr>
    </w:tbl>
    <w:p w14:paraId="67BC4ED1" w14:textId="77777777" w:rsidR="007C5CED" w:rsidRPr="00063FDC" w:rsidRDefault="007C5CED" w:rsidP="007C5CED">
      <w:pPr>
        <w:jc w:val="both"/>
        <w:rPr>
          <w:b/>
          <w:color w:val="000000" w:themeColor="text1"/>
          <w:sz w:val="24"/>
          <w:szCs w:val="24"/>
        </w:rPr>
      </w:pPr>
    </w:p>
    <w:p w14:paraId="3E28A20F" w14:textId="77777777" w:rsidR="007C5CED" w:rsidRPr="00063FDC" w:rsidRDefault="007C5CED" w:rsidP="00070424">
      <w:pPr>
        <w:spacing w:before="120" w:line="360" w:lineRule="auto"/>
        <w:ind w:firstLine="426"/>
        <w:rPr>
          <w:color w:val="000000" w:themeColor="text1"/>
          <w:sz w:val="24"/>
          <w:szCs w:val="24"/>
        </w:rPr>
      </w:pPr>
      <w:r w:rsidRPr="00063FDC">
        <w:rPr>
          <w:color w:val="000000" w:themeColor="text1"/>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063FDC" w:rsidRDefault="00B15290" w:rsidP="007C5CED">
      <w:pPr>
        <w:spacing w:before="120"/>
        <w:ind w:firstLine="426"/>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m:t>
        </m:r>
        <m:r>
          <w:rPr>
            <w:rFonts w:ascii="Cambria Math" w:hAnsi="Cambria Math"/>
            <w:color w:val="000000" w:themeColor="text1"/>
            <w:sz w:val="24"/>
            <w:szCs w:val="24"/>
            <w:lang w:val="en-US"/>
          </w:rPr>
          <m:t>KV</m:t>
        </m:r>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*(1+KV)</m:t>
        </m:r>
      </m:oMath>
      <w:r w:rsidR="007C5CED" w:rsidRPr="00063FDC">
        <w:rPr>
          <w:color w:val="000000" w:themeColor="text1"/>
          <w:sz w:val="24"/>
          <w:szCs w:val="24"/>
        </w:rPr>
        <w:t>,</w:t>
      </w:r>
    </w:p>
    <w:p w14:paraId="59386AA4"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645FEBD2" w14:textId="20AD32B8" w:rsidR="007C5CED" w:rsidRPr="00063FDC" w:rsidRDefault="007C5CED" w:rsidP="00070424">
      <w:pPr>
        <w:spacing w:line="360" w:lineRule="auto"/>
        <w:rPr>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000D1C" w:rsidRPr="00063FDC">
        <w:rPr>
          <w:color w:val="000000" w:themeColor="text1"/>
          <w:sz w:val="24"/>
          <w:szCs w:val="24"/>
        </w:rPr>
        <w:t xml:space="preserve">3 </w:t>
      </w:r>
      <w:r w:rsidRPr="00063FDC">
        <w:rPr>
          <w:color w:val="000000" w:themeColor="text1"/>
          <w:sz w:val="24"/>
          <w:szCs w:val="24"/>
        </w:rPr>
        <w:t xml:space="preserve">месяцев, определяемый по соответствующим средневзвешенным ставкам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аналогично определению коэффициента волатильности по рублевым ставкам;  </w:t>
      </w:r>
    </w:p>
    <w:p w14:paraId="4EE6B3C0" w14:textId="77777777" w:rsidR="007C5CED" w:rsidRPr="00063FDC" w:rsidRDefault="007C5CED" w:rsidP="00070424">
      <w:pPr>
        <w:spacing w:line="360" w:lineRule="auto"/>
        <w:rPr>
          <w:color w:val="000000" w:themeColor="text1"/>
          <w:sz w:val="24"/>
          <w:szCs w:val="24"/>
        </w:rPr>
      </w:pPr>
      <w:r w:rsidRPr="00063FDC">
        <w:rPr>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oMath>
      <w:r w:rsidRPr="00063FDC">
        <w:rPr>
          <w:color w:val="000000" w:themeColor="text1"/>
          <w:sz w:val="24"/>
          <w:szCs w:val="24"/>
        </w:rPr>
        <w:t xml:space="preserve"> - ставка по депозиту в процентах;</w:t>
      </w:r>
    </w:p>
    <w:p w14:paraId="038AAC23" w14:textId="77777777" w:rsidR="007C5CED" w:rsidRPr="00063FDC" w:rsidRDefault="00B15290" w:rsidP="00070424">
      <w:pPr>
        <w:spacing w:line="360" w:lineRule="auto"/>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w:t>
      </w:r>
      <w:r w:rsidR="009A2A2B" w:rsidRPr="00063FDC">
        <w:rPr>
          <w:color w:val="000000" w:themeColor="text1"/>
          <w:sz w:val="24"/>
          <w:szCs w:val="24"/>
        </w:rPr>
        <w:t xml:space="preserve">рах США или Евро, не признается </w:t>
      </w:r>
      <w:r w:rsidRPr="00063FDC">
        <w:rPr>
          <w:color w:val="000000" w:themeColor="text1"/>
          <w:sz w:val="24"/>
          <w:szCs w:val="24"/>
        </w:rPr>
        <w:t xml:space="preserve">рыночной, в качестве рыночной признается ставка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r</m:t>
            </m:r>
          </m:e>
          <m:sub>
            <m:r>
              <m:rPr>
                <m:sty m:val="p"/>
              </m:rPr>
              <w:rPr>
                <w:rFonts w:ascii="Cambria Math" w:hAnsi="Cambria Math"/>
                <w:color w:val="000000" w:themeColor="text1"/>
                <w:sz w:val="24"/>
                <w:szCs w:val="24"/>
              </w:rPr>
              <m:t>ср.рын.</m:t>
            </m:r>
          </m:sub>
        </m:sSub>
      </m:oMath>
      <w:r w:rsidRPr="00063FDC">
        <w:rPr>
          <w:color w:val="000000" w:themeColor="text1"/>
          <w:sz w:val="24"/>
          <w:szCs w:val="24"/>
        </w:rPr>
        <w:t>.</w:t>
      </w:r>
    </w:p>
    <w:p w14:paraId="108CA3A2" w14:textId="77777777" w:rsidR="007C5CED" w:rsidRPr="00063FDC" w:rsidRDefault="007C5CED" w:rsidP="009A2A2B">
      <w:pPr>
        <w:spacing w:line="360" w:lineRule="auto"/>
        <w:ind w:firstLine="426"/>
        <w:rPr>
          <w:color w:val="000000" w:themeColor="text1"/>
          <w:sz w:val="24"/>
          <w:szCs w:val="24"/>
        </w:rPr>
      </w:pPr>
      <w:bookmarkStart w:id="5" w:name="приложение_6"/>
    </w:p>
    <w:p w14:paraId="7E6E3226"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063FDC" w:rsidRDefault="00DB0638" w:rsidP="00DB0638">
      <w:pPr>
        <w:suppressAutoHyphens w:val="0"/>
        <w:autoSpaceDE/>
        <w:spacing w:line="360" w:lineRule="auto"/>
        <w:rPr>
          <w:b/>
          <w:color w:val="000000" w:themeColor="text1"/>
          <w:sz w:val="24"/>
          <w:szCs w:val="24"/>
          <w:lang w:eastAsia="ru-RU"/>
        </w:rPr>
      </w:pPr>
    </w:p>
    <w:bookmarkEnd w:id="5"/>
    <w:p w14:paraId="10648E26" w14:textId="68D00850" w:rsidR="00C56459" w:rsidRPr="00063FDC" w:rsidRDefault="00C56459" w:rsidP="007853EF">
      <w:pPr>
        <w:spacing w:before="120"/>
        <w:ind w:firstLine="426"/>
        <w:jc w:val="both"/>
        <w:rPr>
          <w:color w:val="000000" w:themeColor="text1"/>
          <w:sz w:val="24"/>
          <w:szCs w:val="24"/>
        </w:rPr>
      </w:pPr>
    </w:p>
    <w:p w14:paraId="0E222CA1" w14:textId="77777777" w:rsidR="00070424" w:rsidRPr="00063FDC" w:rsidRDefault="00070424">
      <w:pPr>
        <w:suppressAutoHyphens w:val="0"/>
        <w:autoSpaceDE/>
        <w:spacing w:after="160" w:line="259" w:lineRule="auto"/>
        <w:rPr>
          <w:b/>
          <w:color w:val="000000" w:themeColor="text1"/>
          <w:sz w:val="24"/>
          <w:szCs w:val="24"/>
          <w:lang w:eastAsia="ru-RU"/>
        </w:rPr>
      </w:pPr>
      <w:r w:rsidRPr="00063FDC">
        <w:rPr>
          <w:b/>
          <w:color w:val="000000" w:themeColor="text1"/>
          <w:sz w:val="24"/>
          <w:szCs w:val="24"/>
          <w:lang w:eastAsia="ru-RU"/>
        </w:rPr>
        <w:br w:type="page"/>
      </w:r>
    </w:p>
    <w:p w14:paraId="77CB7B1F" w14:textId="0AA74E24" w:rsidR="007558F7" w:rsidRPr="00063FDC" w:rsidRDefault="007558F7" w:rsidP="007558F7">
      <w:pPr>
        <w:suppressAutoHyphens w:val="0"/>
        <w:autoSpaceDE/>
        <w:spacing w:line="360" w:lineRule="auto"/>
        <w:jc w:val="right"/>
        <w:rPr>
          <w:b/>
          <w:color w:val="000000" w:themeColor="text1"/>
          <w:sz w:val="24"/>
          <w:szCs w:val="24"/>
          <w:lang w:eastAsia="ru-RU"/>
        </w:rPr>
      </w:pPr>
      <w:r w:rsidRPr="00063FDC">
        <w:rPr>
          <w:b/>
          <w:color w:val="000000" w:themeColor="text1"/>
          <w:sz w:val="24"/>
          <w:szCs w:val="24"/>
          <w:lang w:eastAsia="ru-RU"/>
        </w:rPr>
        <w:t xml:space="preserve">Приложение </w:t>
      </w:r>
      <w:r w:rsidR="000467F7" w:rsidRPr="00063FDC">
        <w:rPr>
          <w:b/>
          <w:color w:val="000000" w:themeColor="text1"/>
          <w:sz w:val="24"/>
          <w:szCs w:val="24"/>
          <w:lang w:eastAsia="ru-RU"/>
        </w:rPr>
        <w:t>10</w:t>
      </w:r>
    </w:p>
    <w:p w14:paraId="543F397D" w14:textId="77777777" w:rsidR="007558F7" w:rsidRPr="00063FDC" w:rsidRDefault="007558F7" w:rsidP="007558F7">
      <w:pPr>
        <w:suppressAutoHyphens w:val="0"/>
        <w:autoSpaceDE/>
        <w:spacing w:line="360" w:lineRule="auto"/>
        <w:jc w:val="center"/>
        <w:rPr>
          <w:b/>
          <w:color w:val="000000" w:themeColor="text1"/>
          <w:sz w:val="24"/>
          <w:szCs w:val="24"/>
          <w:lang w:eastAsia="ru-RU"/>
        </w:rPr>
      </w:pPr>
      <w:r w:rsidRPr="00063FDC">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Общие положения</w:t>
      </w:r>
    </w:p>
    <w:p w14:paraId="01B0B08B"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стандартные (без признаков обесценения);</w:t>
      </w:r>
    </w:p>
    <w:p w14:paraId="06819838"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обесцененные (без наступления дефолта);</w:t>
      </w:r>
    </w:p>
    <w:p w14:paraId="34B9634D"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активы, находящиеся в дефолте.</w:t>
      </w:r>
    </w:p>
    <w:p w14:paraId="47235B56"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Стандартные активы (без признаков обесценения),</w:t>
      </w:r>
      <w:r w:rsidRPr="00063FDC">
        <w:rPr>
          <w:color w:val="000000" w:themeColor="text1"/>
          <w:sz w:val="24"/>
          <w:szCs w:val="24"/>
        </w:rPr>
        <w:t xml:space="preserve"> а именно:</w:t>
      </w:r>
    </w:p>
    <w:p w14:paraId="1FBF4F6C"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Обесцененные (без наступления дефолта),</w:t>
      </w:r>
      <w:r w:rsidRPr="00063FDC">
        <w:rPr>
          <w:color w:val="000000" w:themeColor="text1"/>
          <w:sz w:val="24"/>
          <w:szCs w:val="24"/>
        </w:rPr>
        <w:t xml:space="preserve"> а именно:</w:t>
      </w:r>
    </w:p>
    <w:p w14:paraId="33F39BEA"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Денежные средства на счетах и во вкладах;</w:t>
      </w:r>
    </w:p>
    <w:p w14:paraId="23B127A4"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5E4A8AEE"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w:t>
      </w:r>
      <w:r w:rsidRPr="00063FDC">
        <w:rPr>
          <w:color w:val="000000" w:themeColor="text1"/>
          <w:sz w:val="24"/>
          <w:szCs w:val="24"/>
          <w:lang w:val="en-US"/>
        </w:rPr>
        <w:t>;</w:t>
      </w:r>
    </w:p>
    <w:p w14:paraId="363FC39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Активы, находящиеся в дефолте</w:t>
      </w:r>
      <w:r w:rsidRPr="00063FDC">
        <w:rPr>
          <w:color w:val="000000" w:themeColor="text1"/>
          <w:sz w:val="24"/>
          <w:szCs w:val="24"/>
        </w:rPr>
        <w:t>, а именно:</w:t>
      </w:r>
    </w:p>
    <w:p w14:paraId="40593C8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Все виды активов, находящиеся в дефолте.</w:t>
      </w:r>
    </w:p>
    <w:p w14:paraId="3A7302CC" w14:textId="77777777" w:rsidR="007558F7" w:rsidRPr="00063FDC" w:rsidRDefault="007558F7" w:rsidP="007558F7">
      <w:pPr>
        <w:spacing w:line="360" w:lineRule="auto"/>
        <w:ind w:firstLine="709"/>
        <w:jc w:val="both"/>
        <w:rPr>
          <w:color w:val="000000" w:themeColor="text1"/>
          <w:sz w:val="24"/>
          <w:szCs w:val="24"/>
        </w:rPr>
      </w:pPr>
      <w:r w:rsidRPr="00063FDC" w:rsidDel="00B00538">
        <w:rPr>
          <w:color w:val="000000" w:themeColor="text1"/>
          <w:sz w:val="24"/>
          <w:szCs w:val="24"/>
        </w:rPr>
        <w:t xml:space="preserve"> </w:t>
      </w:r>
      <w:r w:rsidRPr="00063FDC">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063FDC" w:rsidRDefault="007558F7" w:rsidP="007558F7">
      <w:pPr>
        <w:spacing w:line="360" w:lineRule="auto"/>
        <w:jc w:val="both"/>
        <w:rPr>
          <w:b/>
          <w:color w:val="000000" w:themeColor="text1"/>
          <w:sz w:val="24"/>
          <w:szCs w:val="24"/>
        </w:rPr>
      </w:pPr>
      <w:r w:rsidRPr="00063FDC">
        <w:rPr>
          <w:b/>
          <w:color w:val="000000" w:themeColor="text1"/>
          <w:sz w:val="24"/>
          <w:szCs w:val="24"/>
        </w:rPr>
        <w:t>Термины и определения, используемые в настоящем Приложении</w:t>
      </w:r>
    </w:p>
    <w:p w14:paraId="3332F46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Кредитный риск</w:t>
      </w:r>
      <w:r w:rsidRPr="00063FDC">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Безрисковая ставка:</w:t>
      </w:r>
    </w:p>
    <w:p w14:paraId="776C438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российских рублях: </w:t>
      </w:r>
    </w:p>
    <w:p w14:paraId="0F66778B"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со сроком до погашения, не превышающим 1 календарный день – ставка </w:t>
      </w:r>
      <w:r w:rsidRPr="00063FDC">
        <w:rPr>
          <w:color w:val="000000" w:themeColor="text1"/>
          <w:sz w:val="24"/>
          <w:szCs w:val="24"/>
          <w:lang w:val="en-US"/>
        </w:rPr>
        <w:t>Mosprime</w:t>
      </w:r>
      <w:r w:rsidRPr="00063FDC">
        <w:rPr>
          <w:rStyle w:val="afa"/>
          <w:color w:val="000000" w:themeColor="text1"/>
          <w:sz w:val="24"/>
          <w:szCs w:val="24"/>
          <w:lang w:val="en-US"/>
        </w:rPr>
        <w:footnoteReference w:id="3"/>
      </w:r>
      <w:r w:rsidRPr="00063FDC">
        <w:rPr>
          <w:color w:val="000000" w:themeColor="text1"/>
          <w:sz w:val="24"/>
          <w:szCs w:val="24"/>
        </w:rPr>
        <w:t>;</w:t>
      </w:r>
    </w:p>
    <w:p w14:paraId="6904D4A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определяемая из G-кривой (кривой бескупонной доходности Московской биржи</w:t>
      </w:r>
      <w:r w:rsidRPr="00063FDC">
        <w:rPr>
          <w:rStyle w:val="afa"/>
          <w:color w:val="000000" w:themeColor="text1"/>
          <w:sz w:val="24"/>
          <w:szCs w:val="24"/>
        </w:rPr>
        <w:footnoteReference w:id="4"/>
      </w:r>
      <w:r w:rsidRPr="00063FDC">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Для целей расчета безрисковой ставки, используются следующие округления:</w:t>
      </w:r>
    </w:p>
    <w:p w14:paraId="4C341593"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Значение срока ставки определяется до 4 знаков после запятой;</w:t>
      </w:r>
    </w:p>
    <w:p w14:paraId="052C8265"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Итоговое значение ставки определяется до 2 знаков после запятой.</w:t>
      </w:r>
    </w:p>
    <w:p w14:paraId="179315F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американских долларах:  </w:t>
      </w:r>
    </w:p>
    <w:p w14:paraId="00BD695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SOFR</w:t>
      </w:r>
      <w:r w:rsidRPr="00063FDC">
        <w:rPr>
          <w:rStyle w:val="afa"/>
          <w:color w:val="000000" w:themeColor="text1"/>
          <w:sz w:val="24"/>
          <w:szCs w:val="24"/>
        </w:rPr>
        <w:footnoteReference w:id="5"/>
      </w:r>
      <w:r w:rsidRPr="00063FDC">
        <w:rPr>
          <w:color w:val="000000" w:themeColor="text1"/>
          <w:sz w:val="24"/>
          <w:szCs w:val="24"/>
        </w:rPr>
        <w:t>;</w:t>
      </w:r>
    </w:p>
    <w:p w14:paraId="7D7ED73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63FDC">
        <w:rPr>
          <w:rStyle w:val="afa"/>
          <w:color w:val="000000" w:themeColor="text1"/>
          <w:sz w:val="24"/>
          <w:szCs w:val="24"/>
        </w:rPr>
        <w:footnoteReference w:id="6"/>
      </w:r>
      <w:r w:rsidRPr="00063FDC">
        <w:rPr>
          <w:color w:val="000000" w:themeColor="text1"/>
          <w:sz w:val="24"/>
          <w:szCs w:val="24"/>
        </w:rPr>
        <w:t xml:space="preserve"> на срок 1 месяц.</w:t>
      </w:r>
    </w:p>
    <w:p w14:paraId="0613440F"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В евро:</w:t>
      </w:r>
    </w:p>
    <w:p w14:paraId="611B2C90"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ESTR</w:t>
      </w:r>
      <w:r w:rsidRPr="00063FDC">
        <w:rPr>
          <w:rStyle w:val="afa"/>
          <w:color w:val="000000" w:themeColor="text1"/>
          <w:sz w:val="24"/>
          <w:szCs w:val="24"/>
        </w:rPr>
        <w:footnoteReference w:id="7"/>
      </w:r>
      <w:r w:rsidRPr="00063FDC">
        <w:rPr>
          <w:color w:val="000000" w:themeColor="text1"/>
          <w:sz w:val="24"/>
          <w:szCs w:val="24"/>
        </w:rPr>
        <w:t xml:space="preserve">; </w:t>
      </w:r>
    </w:p>
    <w:p w14:paraId="6A897563"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063FDC">
        <w:rPr>
          <w:rStyle w:val="afa"/>
          <w:color w:val="000000" w:themeColor="text1"/>
          <w:sz w:val="24"/>
          <w:szCs w:val="24"/>
        </w:rPr>
        <w:footnoteReference w:id="8"/>
      </w:r>
      <w:r w:rsidRPr="00063FDC">
        <w:rPr>
          <w:color w:val="000000" w:themeColor="text1"/>
          <w:sz w:val="24"/>
          <w:szCs w:val="24"/>
        </w:rPr>
        <w:t xml:space="preserve"> на срок 3 месяца.</w:t>
      </w:r>
    </w:p>
    <w:p w14:paraId="36695871"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063FDC" w:rsidRDefault="007558F7" w:rsidP="00C8239C">
      <w:pPr>
        <w:pStyle w:val="a8"/>
        <w:numPr>
          <w:ilvl w:val="0"/>
          <w:numId w:val="28"/>
        </w:numPr>
        <w:suppressAutoHyphens w:val="0"/>
        <w:autoSpaceDE/>
        <w:spacing w:line="360" w:lineRule="exact"/>
        <w:jc w:val="both"/>
        <w:rPr>
          <w:color w:val="000000" w:themeColor="text1"/>
          <w:sz w:val="24"/>
          <w:szCs w:val="24"/>
        </w:rPr>
      </w:pPr>
      <w:r w:rsidRPr="00063FDC">
        <w:rPr>
          <w:color w:val="000000" w:themeColor="text1"/>
          <w:sz w:val="24"/>
          <w:szCs w:val="24"/>
        </w:rPr>
        <w:t>в прочих валютах:</w:t>
      </w:r>
    </w:p>
    <w:p w14:paraId="06A6C4C8" w14:textId="77777777" w:rsidR="007558F7" w:rsidRPr="00063FDC" w:rsidRDefault="007558F7" w:rsidP="007558F7">
      <w:pPr>
        <w:pStyle w:val="a8"/>
        <w:suppressAutoHyphens w:val="0"/>
        <w:autoSpaceDE/>
        <w:spacing w:line="360" w:lineRule="exact"/>
        <w:ind w:left="1222"/>
        <w:jc w:val="both"/>
        <w:rPr>
          <w:color w:val="000000" w:themeColor="text1"/>
          <w:sz w:val="24"/>
          <w:szCs w:val="24"/>
        </w:rPr>
      </w:pPr>
      <w:r w:rsidRPr="00063FDC">
        <w:rPr>
          <w:color w:val="000000" w:themeColor="text1"/>
          <w:sz w:val="24"/>
          <w:szCs w:val="24"/>
        </w:rPr>
        <w:t xml:space="preserve"> – как безрисковая ставка в соответствующей валюте. </w:t>
      </w:r>
    </w:p>
    <w:p w14:paraId="61F52A11" w14:textId="5F0DEA26" w:rsidR="007558F7" w:rsidRPr="00063FDC" w:rsidRDefault="007558F7" w:rsidP="007558F7">
      <w:pPr>
        <w:spacing w:line="360" w:lineRule="auto"/>
        <w:jc w:val="both"/>
        <w:rPr>
          <w:color w:val="000000" w:themeColor="text1"/>
          <w:sz w:val="24"/>
          <w:szCs w:val="24"/>
        </w:rPr>
      </w:pPr>
    </w:p>
    <w:p w14:paraId="155BC983"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Формула 1. Формула линейной интерполяции</w:t>
      </w:r>
    </w:p>
    <w:p w14:paraId="7D4E5950" w14:textId="77777777" w:rsidR="007558F7" w:rsidRPr="00063FDC" w:rsidRDefault="007558F7" w:rsidP="007558F7">
      <w:pPr>
        <w:pStyle w:val="a8"/>
        <w:spacing w:line="360" w:lineRule="auto"/>
        <w:ind w:left="0" w:firstLine="709"/>
        <w:rPr>
          <w:b/>
          <w:color w:val="000000" w:themeColor="text1"/>
          <w:sz w:val="24"/>
          <w:szCs w:val="24"/>
        </w:rPr>
      </w:pPr>
    </w:p>
    <w:p w14:paraId="41C55124" w14:textId="77777777" w:rsidR="007558F7" w:rsidRPr="00063FDC" w:rsidRDefault="00B15290"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063FDC" w:rsidRDefault="007558F7" w:rsidP="007558F7">
      <w:pPr>
        <w:spacing w:line="360" w:lineRule="auto"/>
        <w:jc w:val="both"/>
        <w:rPr>
          <w:color w:val="000000" w:themeColor="text1"/>
          <w:sz w:val="24"/>
          <w:szCs w:val="24"/>
        </w:rPr>
      </w:pPr>
      <w:r w:rsidRPr="00063FDC">
        <w:rPr>
          <w:color w:val="000000" w:themeColor="text1"/>
          <w:sz w:val="24"/>
          <w:szCs w:val="24"/>
        </w:rPr>
        <w:t>где:</w:t>
      </w:r>
    </w:p>
    <w:p w14:paraId="661A23E7"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D</w:t>
      </w:r>
      <w:r w:rsidRPr="00063FDC">
        <w:rPr>
          <w:b/>
          <w:color w:val="000000" w:themeColor="text1"/>
          <w:sz w:val="24"/>
          <w:szCs w:val="24"/>
          <w:vertAlign w:val="subscript"/>
        </w:rPr>
        <w:t>m</w:t>
      </w:r>
      <w:r w:rsidRPr="00063FDC">
        <w:rPr>
          <w:color w:val="000000" w:themeColor="text1"/>
          <w:sz w:val="24"/>
          <w:szCs w:val="24"/>
        </w:rPr>
        <w:t xml:space="preserve"> - срок до погашения инструмента m в годах;</w:t>
      </w:r>
    </w:p>
    <w:p w14:paraId="13E043E4"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D</w:t>
      </w:r>
      <w:r w:rsidRPr="00063FDC">
        <w:rPr>
          <w:b/>
          <w:color w:val="000000" w:themeColor="text1"/>
          <w:sz w:val="24"/>
          <w:szCs w:val="24"/>
          <w:vertAlign w:val="subscript"/>
        </w:rPr>
        <w:t>min</w:t>
      </w:r>
      <w:r w:rsidRPr="00063FDC">
        <w:rPr>
          <w:b/>
          <w:color w:val="000000" w:themeColor="text1"/>
          <w:sz w:val="24"/>
          <w:szCs w:val="24"/>
        </w:rPr>
        <w:t>, D</w:t>
      </w:r>
      <w:r w:rsidRPr="00063FDC">
        <w:rPr>
          <w:b/>
          <w:color w:val="000000" w:themeColor="text1"/>
          <w:sz w:val="24"/>
          <w:szCs w:val="24"/>
          <w:vertAlign w:val="subscript"/>
        </w:rPr>
        <w:t>max</w:t>
      </w:r>
      <w:r w:rsidRPr="00063FDC">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1D9935AE"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V</w:t>
      </w:r>
      <w:r w:rsidRPr="00063FDC">
        <w:rPr>
          <w:b/>
          <w:color w:val="000000" w:themeColor="text1"/>
          <w:sz w:val="24"/>
          <w:szCs w:val="24"/>
          <w:vertAlign w:val="subscript"/>
        </w:rPr>
        <w:t>+1</w:t>
      </w:r>
      <w:r w:rsidRPr="00063FDC">
        <w:rPr>
          <w:b/>
          <w:color w:val="000000" w:themeColor="text1"/>
          <w:sz w:val="24"/>
          <w:szCs w:val="24"/>
        </w:rPr>
        <w:t>, V</w:t>
      </w:r>
      <w:r w:rsidRPr="00063FDC">
        <w:rPr>
          <w:b/>
          <w:color w:val="000000" w:themeColor="text1"/>
          <w:sz w:val="24"/>
          <w:szCs w:val="24"/>
          <w:vertAlign w:val="subscript"/>
        </w:rPr>
        <w:t>-1</w:t>
      </w:r>
      <w:r w:rsidRPr="00063FDC">
        <w:rPr>
          <w:color w:val="000000" w:themeColor="text1"/>
          <w:sz w:val="24"/>
          <w:szCs w:val="24"/>
        </w:rPr>
        <w:t xml:space="preserve"> – наиболее близкий к </w:t>
      </w:r>
      <w:r w:rsidRPr="00063FDC">
        <w:rPr>
          <w:color w:val="000000" w:themeColor="text1"/>
          <w:sz w:val="24"/>
          <w:szCs w:val="24"/>
          <w:lang w:val="en-US"/>
        </w:rPr>
        <w:t>D</w:t>
      </w:r>
      <w:r w:rsidRPr="00063FDC">
        <w:rPr>
          <w:color w:val="000000" w:themeColor="text1"/>
          <w:sz w:val="24"/>
          <w:szCs w:val="24"/>
          <w:vertAlign w:val="subscript"/>
          <w:lang w:val="en-US"/>
        </w:rPr>
        <w:t>m</w:t>
      </w:r>
      <w:r w:rsidRPr="00063FDC">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063FDC">
        <w:rPr>
          <w:color w:val="000000" w:themeColor="text1"/>
          <w:sz w:val="24"/>
          <w:szCs w:val="24"/>
          <w:vertAlign w:val="subscript"/>
        </w:rPr>
        <w:t>m</w:t>
      </w:r>
      <w:r w:rsidRPr="00063FDC">
        <w:rPr>
          <w:color w:val="000000" w:themeColor="text1"/>
          <w:sz w:val="24"/>
          <w:szCs w:val="24"/>
        </w:rPr>
        <w:t>, в годах (определяется с точностью до 4 знаков после запятой);</w:t>
      </w:r>
    </w:p>
    <w:p w14:paraId="19AD225D" w14:textId="77777777" w:rsidR="007558F7" w:rsidRPr="00063FDC" w:rsidRDefault="007558F7" w:rsidP="007558F7">
      <w:pPr>
        <w:spacing w:line="360" w:lineRule="auto"/>
        <w:jc w:val="both"/>
        <w:rPr>
          <w:color w:val="000000" w:themeColor="text1"/>
          <w:sz w:val="24"/>
          <w:szCs w:val="24"/>
          <w:vertAlign w:val="subscript"/>
        </w:rPr>
      </w:pPr>
      <w:r w:rsidRPr="00063FDC">
        <w:rPr>
          <w:b/>
          <w:color w:val="000000" w:themeColor="text1"/>
          <w:sz w:val="24"/>
          <w:szCs w:val="24"/>
        </w:rPr>
        <w:t>RK(</w:t>
      </w:r>
      <w:r w:rsidRPr="00063FDC">
        <w:rPr>
          <w:b/>
          <w:color w:val="000000" w:themeColor="text1"/>
          <w:sz w:val="24"/>
          <w:szCs w:val="24"/>
          <w:lang w:val="en-US"/>
        </w:rPr>
        <w:t>T</w:t>
      </w:r>
      <w:r w:rsidRPr="00063FDC">
        <w:rPr>
          <w:b/>
          <w:color w:val="000000" w:themeColor="text1"/>
          <w:sz w:val="24"/>
          <w:szCs w:val="24"/>
        </w:rPr>
        <w:t xml:space="preserve">) </w:t>
      </w:r>
      <w:r w:rsidRPr="00063FDC">
        <w:rPr>
          <w:color w:val="000000" w:themeColor="text1"/>
          <w:sz w:val="24"/>
          <w:szCs w:val="24"/>
        </w:rPr>
        <w:t xml:space="preserve">– уровень процентных ставок для срока </w:t>
      </w:r>
      <w:r w:rsidRPr="00063FDC">
        <w:rPr>
          <w:color w:val="000000" w:themeColor="text1"/>
          <w:sz w:val="24"/>
          <w:szCs w:val="24"/>
          <w:lang w:val="en-US"/>
        </w:rPr>
        <w:t>T</w:t>
      </w:r>
      <w:r w:rsidRPr="00063FDC">
        <w:rPr>
          <w:color w:val="000000" w:themeColor="text1"/>
          <w:sz w:val="24"/>
          <w:szCs w:val="24"/>
        </w:rPr>
        <w:t xml:space="preserve">, где </w:t>
      </w:r>
      <w:r w:rsidRPr="00063FDC">
        <w:rPr>
          <w:color w:val="000000" w:themeColor="text1"/>
          <w:sz w:val="24"/>
          <w:szCs w:val="24"/>
          <w:lang w:val="en-US"/>
        </w:rPr>
        <w:t>T</w:t>
      </w:r>
      <w:r w:rsidRPr="00063FDC">
        <w:rPr>
          <w:color w:val="000000" w:themeColor="text1"/>
          <w:sz w:val="24"/>
          <w:szCs w:val="24"/>
        </w:rPr>
        <w:t xml:space="preserve"> может принимать значения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Dmin</w:t>
      </w:r>
      <w:r w:rsidRPr="00063FDC">
        <w:rPr>
          <w:color w:val="000000" w:themeColor="text1"/>
          <w:sz w:val="24"/>
          <w:szCs w:val="24"/>
        </w:rPr>
        <w:t xml:space="preserve">, </w:t>
      </w:r>
      <w:r w:rsidRPr="00063FDC">
        <w:rPr>
          <w:color w:val="000000" w:themeColor="text1"/>
          <w:sz w:val="24"/>
          <w:szCs w:val="24"/>
          <w:lang w:val="en-US"/>
        </w:rPr>
        <w:t>Dmax</w:t>
      </w:r>
      <w:r w:rsidRPr="00063FDC">
        <w:rPr>
          <w:color w:val="000000" w:themeColor="text1"/>
          <w:sz w:val="24"/>
          <w:szCs w:val="24"/>
        </w:rPr>
        <w:t>.</w:t>
      </w:r>
    </w:p>
    <w:p w14:paraId="220C0E92"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PD (вероятность дефолта) по активу</w:t>
      </w:r>
      <w:r w:rsidRPr="00063FDC">
        <w:rPr>
          <w:color w:val="000000" w:themeColor="text1"/>
          <w:sz w:val="24"/>
          <w:szCs w:val="24"/>
        </w:rPr>
        <w:t xml:space="preserve"> – оценка вероятности наступления события дефолта. Порядок определения </w:t>
      </w:r>
      <w:r w:rsidRPr="00063FDC">
        <w:rPr>
          <w:color w:val="000000" w:themeColor="text1"/>
          <w:sz w:val="24"/>
          <w:szCs w:val="24"/>
          <w:lang w:val="en-US"/>
        </w:rPr>
        <w:t>PD</w:t>
      </w:r>
      <w:r w:rsidRPr="00063FDC">
        <w:rPr>
          <w:color w:val="000000" w:themeColor="text1"/>
          <w:sz w:val="24"/>
          <w:szCs w:val="24"/>
        </w:rPr>
        <w:t xml:space="preserve"> установлен в разделе 4 настоящего Приложения.</w:t>
      </w:r>
    </w:p>
    <w:p w14:paraId="4397C723"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LGD (loss given default)</w:t>
      </w:r>
      <w:r w:rsidRPr="00063FDC">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63FDC">
        <w:rPr>
          <w:color w:val="000000" w:themeColor="text1"/>
          <w:sz w:val="24"/>
          <w:szCs w:val="24"/>
          <w:lang w:val="en-US"/>
        </w:rPr>
        <w:t>LGD</w:t>
      </w:r>
      <w:r w:rsidRPr="00063FDC">
        <w:rPr>
          <w:color w:val="000000" w:themeColor="text1"/>
          <w:sz w:val="24"/>
          <w:szCs w:val="24"/>
        </w:rPr>
        <w:t xml:space="preserve"> установлен в разделе 5 настоящего Приложения.</w:t>
      </w:r>
    </w:p>
    <w:p w14:paraId="30BF6A39"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lang w:val="en-US"/>
        </w:rPr>
        <w:t>CoR</w:t>
      </w:r>
      <w:r w:rsidRPr="00063FDC">
        <w:rPr>
          <w:b/>
          <w:color w:val="000000" w:themeColor="text1"/>
          <w:sz w:val="24"/>
          <w:szCs w:val="24"/>
        </w:rPr>
        <w:t xml:space="preserve"> (</w:t>
      </w:r>
      <w:r w:rsidRPr="00063FDC">
        <w:rPr>
          <w:b/>
          <w:color w:val="000000" w:themeColor="text1"/>
          <w:sz w:val="24"/>
          <w:szCs w:val="24"/>
          <w:lang w:val="en-US"/>
        </w:rPr>
        <w:t>Cost</w:t>
      </w:r>
      <w:r w:rsidRPr="00063FDC">
        <w:rPr>
          <w:b/>
          <w:color w:val="000000" w:themeColor="text1"/>
          <w:sz w:val="24"/>
          <w:szCs w:val="24"/>
        </w:rPr>
        <w:t xml:space="preserve"> </w:t>
      </w:r>
      <w:r w:rsidRPr="00063FDC">
        <w:rPr>
          <w:b/>
          <w:color w:val="000000" w:themeColor="text1"/>
          <w:sz w:val="24"/>
          <w:szCs w:val="24"/>
          <w:lang w:val="en-US"/>
        </w:rPr>
        <w:t>of</w:t>
      </w:r>
      <w:r w:rsidRPr="00063FDC">
        <w:rPr>
          <w:b/>
          <w:color w:val="000000" w:themeColor="text1"/>
          <w:sz w:val="24"/>
          <w:szCs w:val="24"/>
        </w:rPr>
        <w:t xml:space="preserve"> </w:t>
      </w:r>
      <w:r w:rsidRPr="00063FDC">
        <w:rPr>
          <w:b/>
          <w:color w:val="000000" w:themeColor="text1"/>
          <w:sz w:val="24"/>
          <w:szCs w:val="24"/>
          <w:lang w:val="en-US"/>
        </w:rPr>
        <w:t>Risk</w:t>
      </w:r>
      <w:r w:rsidRPr="00063FDC">
        <w:rPr>
          <w:b/>
          <w:color w:val="000000" w:themeColor="text1"/>
          <w:sz w:val="24"/>
          <w:szCs w:val="24"/>
        </w:rPr>
        <w:t>, стоимость риска)</w:t>
      </w:r>
      <w:r w:rsidRPr="00063FDC">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063FDC" w:rsidRDefault="007558F7" w:rsidP="007558F7">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Moody's Investors Service</w:t>
      </w:r>
    </w:p>
    <w:p w14:paraId="444D9778"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Standard &amp; Poor's</w:t>
      </w:r>
    </w:p>
    <w:p w14:paraId="6FB8AA23"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Fitch Ratings</w:t>
      </w:r>
    </w:p>
    <w:p w14:paraId="1A63EED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06CF485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5917D47A"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Общество с ограниченной ответственностью «Национальное Рейтинговое Агентство» </w:t>
      </w:r>
      <w:r w:rsidRPr="00063FDC">
        <w:rPr>
          <w:color w:val="000000" w:themeColor="text1"/>
          <w:sz w:val="24"/>
          <w:szCs w:val="24"/>
        </w:rPr>
        <w:tab/>
        <w:t>(ООО «НРА»)</w:t>
      </w:r>
    </w:p>
    <w:p w14:paraId="023F2B1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Общество с ограниченной ответственностью «Национальные Кредитные Рейтинги»</w:t>
      </w:r>
      <w:r w:rsidRPr="00063FDC">
        <w:rPr>
          <w:color w:val="000000" w:themeColor="text1"/>
          <w:sz w:val="24"/>
          <w:szCs w:val="24"/>
        </w:rPr>
        <w:tab/>
        <w:t>(ООО «НКР»)</w:t>
      </w:r>
    </w:p>
    <w:p w14:paraId="4C657C08"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063FDC">
        <w:rPr>
          <w:color w:val="000000" w:themeColor="text1"/>
          <w:sz w:val="24"/>
          <w:szCs w:val="24"/>
          <w:lang w:val="en-US"/>
        </w:rPr>
        <w:t>PD</w:t>
      </w:r>
      <w:r w:rsidRPr="00063FDC">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Moody's Investors Service</w:t>
      </w:r>
    </w:p>
    <w:p w14:paraId="70B0C6C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Standard &amp; Poor's</w:t>
      </w:r>
    </w:p>
    <w:p w14:paraId="48C6F3E5"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Fitch Ratings</w:t>
      </w:r>
    </w:p>
    <w:p w14:paraId="1387812B"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50731474"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69E48B11" w14:textId="77777777" w:rsidR="007558F7" w:rsidRPr="00063FDC" w:rsidRDefault="007558F7" w:rsidP="007558F7">
      <w:pPr>
        <w:autoSpaceDN w:val="0"/>
        <w:spacing w:line="360" w:lineRule="auto"/>
        <w:ind w:firstLine="709"/>
        <w:jc w:val="both"/>
        <w:rPr>
          <w:color w:val="000000" w:themeColor="text1"/>
          <w:sz w:val="24"/>
          <w:szCs w:val="24"/>
        </w:rPr>
      </w:pPr>
      <w:r w:rsidRPr="00063FDC">
        <w:rPr>
          <w:b/>
          <w:color w:val="000000" w:themeColor="text1"/>
          <w:sz w:val="24"/>
          <w:szCs w:val="24"/>
        </w:rPr>
        <w:t>Ступень кредитного рейтинга (грейд)</w:t>
      </w:r>
      <w:r w:rsidRPr="00063FDC">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t>Дефолт</w:t>
      </w:r>
      <w:r w:rsidRPr="00063FDC">
        <w:rPr>
          <w:color w:val="000000" w:themeColor="text1"/>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Предельные сроки признания дефолта для различных видов задолженности указаны в п. 3.1.</w:t>
      </w:r>
    </w:p>
    <w:p w14:paraId="139F3197"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t>Операционная дебиторская задолженность</w:t>
      </w:r>
      <w:r w:rsidRPr="00063FDC">
        <w:rPr>
          <w:color w:val="000000" w:themeColor="text1"/>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063FDC" w:rsidRDefault="007558F7" w:rsidP="007558F7">
      <w:pPr>
        <w:spacing w:line="360" w:lineRule="auto"/>
        <w:ind w:firstLine="709"/>
        <w:jc w:val="both"/>
        <w:rPr>
          <w:color w:val="000000" w:themeColor="text1"/>
          <w:sz w:val="24"/>
          <w:szCs w:val="24"/>
        </w:rPr>
      </w:pPr>
    </w:p>
    <w:p w14:paraId="34E1DC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1.  Стандартные активы (без признаков обесценения)</w:t>
      </w:r>
    </w:p>
    <w:p w14:paraId="57D1DED2" w14:textId="77777777" w:rsidR="007558F7" w:rsidRPr="00063FDC" w:rsidRDefault="007558F7" w:rsidP="007558F7">
      <w:pPr>
        <w:pStyle w:val="a0"/>
        <w:numPr>
          <w:ilvl w:val="0"/>
          <w:numId w:val="0"/>
        </w:numPr>
        <w:spacing w:before="0" w:after="0" w:line="360" w:lineRule="auto"/>
        <w:ind w:firstLine="709"/>
        <w:jc w:val="both"/>
        <w:rPr>
          <w:b w:val="0"/>
          <w:color w:val="000000" w:themeColor="text1"/>
          <w:szCs w:val="24"/>
        </w:rPr>
      </w:pPr>
    </w:p>
    <w:p w14:paraId="295DF1FC" w14:textId="77777777" w:rsidR="007558F7" w:rsidRPr="00063FDC" w:rsidRDefault="007558F7" w:rsidP="00C8239C">
      <w:pPr>
        <w:pStyle w:val="a8"/>
        <w:numPr>
          <w:ilvl w:val="1"/>
          <w:numId w:val="22"/>
        </w:numPr>
        <w:tabs>
          <w:tab w:val="left" w:pos="993"/>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063FDC" w:rsidRDefault="007558F7" w:rsidP="00C8239C">
      <w:pPr>
        <w:pStyle w:val="a8"/>
        <w:numPr>
          <w:ilvl w:val="1"/>
          <w:numId w:val="22"/>
        </w:numPr>
        <w:tabs>
          <w:tab w:val="left" w:pos="709"/>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063FDC" w:rsidRDefault="007558F7" w:rsidP="007558F7">
      <w:pPr>
        <w:pStyle w:val="a8"/>
        <w:spacing w:line="360" w:lineRule="auto"/>
        <w:ind w:left="0" w:firstLine="709"/>
        <w:contextualSpacing w:val="0"/>
        <w:rPr>
          <w:color w:val="000000" w:themeColor="text1"/>
          <w:sz w:val="24"/>
          <w:szCs w:val="24"/>
        </w:rPr>
      </w:pPr>
      <w:r w:rsidRPr="00063FDC">
        <w:rPr>
          <w:b/>
          <w:color w:val="000000" w:themeColor="text1"/>
          <w:sz w:val="24"/>
          <w:szCs w:val="24"/>
        </w:rPr>
        <w:t>Формула 2</w:t>
      </w:r>
      <w:r w:rsidRPr="00063FDC">
        <w:rPr>
          <w:color w:val="000000" w:themeColor="text1"/>
          <w:sz w:val="24"/>
          <w:szCs w:val="24"/>
        </w:rPr>
        <w:t>:</w:t>
      </w:r>
    </w:p>
    <w:p w14:paraId="0F9E2B9F" w14:textId="77777777" w:rsidR="007558F7" w:rsidRPr="00063FDC" w:rsidRDefault="007558F7" w:rsidP="007558F7">
      <w:pPr>
        <w:spacing w:line="360" w:lineRule="auto"/>
        <w:ind w:firstLine="709"/>
        <w:jc w:val="center"/>
        <w:rPr>
          <w:i/>
          <w:color w:val="000000" w:themeColor="text1"/>
          <w:sz w:val="24"/>
          <w:szCs w:val="24"/>
        </w:rPr>
      </w:pPr>
      <m:oMath>
        <m:r>
          <w:rPr>
            <w:rFonts w:ascii="Cambria Math" w:eastAsia="Batang" w:hAnsi="Cambria Math"/>
            <w:color w:val="000000" w:themeColor="text1"/>
            <w:sz w:val="24"/>
            <w:szCs w:val="24"/>
          </w:rPr>
          <m:t>PV=</m:t>
        </m:r>
        <m:nary>
          <m:naryPr>
            <m:chr m:val="∑"/>
            <m:limLoc m:val="undOvr"/>
            <m:ctrlPr>
              <w:rPr>
                <w:rFonts w:ascii="Cambria Math" w:eastAsia="Batang" w:hAnsi="Cambria Math"/>
                <w:i/>
                <w:color w:val="000000" w:themeColor="text1"/>
                <w:sz w:val="24"/>
                <w:szCs w:val="24"/>
              </w:rPr>
            </m:ctrlPr>
          </m:naryPr>
          <m:sub>
            <m:r>
              <w:rPr>
                <w:rFonts w:ascii="Cambria Math" w:eastAsia="Batang" w:hAnsi="Cambria Math"/>
                <w:color w:val="000000" w:themeColor="text1"/>
                <w:sz w:val="24"/>
                <w:szCs w:val="24"/>
              </w:rPr>
              <m:t>n=1</m:t>
            </m:r>
          </m:sub>
          <m:sup>
            <m:r>
              <w:rPr>
                <w:rFonts w:ascii="Cambria Math" w:eastAsia="Batang" w:hAnsi="Cambria Math"/>
                <w:color w:val="000000" w:themeColor="text1"/>
                <w:sz w:val="24"/>
                <w:szCs w:val="24"/>
              </w:rPr>
              <m:t>N</m:t>
            </m:r>
          </m:sup>
          <m:e>
            <m:f>
              <m:fPr>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P</m:t>
                    </m:r>
                  </m:e>
                  <m:sub>
                    <m:r>
                      <w:rPr>
                        <w:rFonts w:ascii="Cambria Math" w:eastAsia="Batang" w:hAnsi="Cambria Math"/>
                        <w:color w:val="000000" w:themeColor="text1"/>
                        <w:sz w:val="24"/>
                        <w:szCs w:val="24"/>
                      </w:rPr>
                      <m:t>n</m:t>
                    </m:r>
                  </m:sub>
                </m:sSub>
              </m:num>
              <m:den>
                <m:sSup>
                  <m:sSupPr>
                    <m:ctrlPr>
                      <w:rPr>
                        <w:rFonts w:ascii="Cambria Math" w:eastAsia="Batang" w:hAnsi="Cambria Math"/>
                        <w:i/>
                        <w:color w:val="000000" w:themeColor="text1"/>
                        <w:sz w:val="24"/>
                        <w:szCs w:val="24"/>
                      </w:rPr>
                    </m:ctrlPr>
                  </m:sSupPr>
                  <m:e>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R</m:t>
                        </m:r>
                        <m:r>
                          <w:rPr>
                            <w:rFonts w:ascii="Cambria Math" w:eastAsia="Batang" w:hAnsi="Cambria Math"/>
                            <w:color w:val="000000" w:themeColor="text1"/>
                            <w:sz w:val="24"/>
                            <w:szCs w:val="24"/>
                          </w:rPr>
                          <m:t>(</m:t>
                        </m:r>
                        <m:r>
                          <w:rPr>
                            <w:rFonts w:ascii="Cambria Math" w:eastAsia="Batang" w:hAnsi="Cambria Math"/>
                            <w:color w:val="000000" w:themeColor="text1"/>
                            <w:sz w:val="24"/>
                            <w:szCs w:val="24"/>
                            <w:lang w:val="en-US"/>
                          </w:rPr>
                          <m:t>T</m:t>
                        </m:r>
                        <m:d>
                          <m:dPr>
                            <m:ctrlPr>
                              <w:rPr>
                                <w:rFonts w:ascii="Cambria Math" w:eastAsia="Batang" w:hAnsi="Cambria Math"/>
                                <w:i/>
                                <w:color w:val="000000" w:themeColor="text1"/>
                                <w:sz w:val="24"/>
                                <w:szCs w:val="24"/>
                                <w:lang w:val="en-US"/>
                              </w:rPr>
                            </m:ctrlPr>
                          </m:dPr>
                          <m:e>
                            <m:r>
                              <w:rPr>
                                <w:rFonts w:ascii="Cambria Math" w:eastAsia="Batang" w:hAnsi="Cambria Math"/>
                                <w:color w:val="000000" w:themeColor="text1"/>
                                <w:sz w:val="24"/>
                                <w:szCs w:val="24"/>
                                <w:lang w:val="en-US"/>
                              </w:rPr>
                              <m:t>n</m:t>
                            </m:r>
                          </m:e>
                        </m:d>
                        <m:r>
                          <w:rPr>
                            <w:rFonts w:ascii="Cambria Math" w:eastAsia="Batang" w:hAnsi="Cambria Math"/>
                            <w:color w:val="000000" w:themeColor="text1"/>
                            <w:sz w:val="24"/>
                            <w:szCs w:val="24"/>
                          </w:rPr>
                          <m:t>)</m:t>
                        </m:r>
                        <m:ctrlPr>
                          <w:rPr>
                            <w:rFonts w:ascii="Cambria Math" w:eastAsia="Batang" w:hAnsi="Cambria Math"/>
                            <w:i/>
                            <w:color w:val="000000" w:themeColor="text1"/>
                            <w:sz w:val="24"/>
                            <w:szCs w:val="24"/>
                            <w:lang w:val="en-US"/>
                          </w:rPr>
                        </m:ctrlPr>
                      </m:e>
                    </m:d>
                  </m:e>
                  <m:sup>
                    <m:f>
                      <m:fPr>
                        <m:type m:val="lin"/>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T</m:t>
                            </m:r>
                          </m:e>
                          <m:sub>
                            <m:r>
                              <w:rPr>
                                <w:rFonts w:ascii="Cambria Math" w:eastAsia="Batang" w:hAnsi="Cambria Math"/>
                                <w:color w:val="000000" w:themeColor="text1"/>
                                <w:sz w:val="24"/>
                                <w:szCs w:val="24"/>
                              </w:rPr>
                              <m:t>(n)</m:t>
                            </m:r>
                          </m:sub>
                        </m:sSub>
                      </m:num>
                      <m:den>
                        <m:r>
                          <w:rPr>
                            <w:rFonts w:ascii="Cambria Math" w:eastAsia="Batang" w:hAnsi="Cambria Math"/>
                            <w:color w:val="000000" w:themeColor="text1"/>
                            <w:sz w:val="24"/>
                            <w:szCs w:val="24"/>
                          </w:rPr>
                          <m:t>365</m:t>
                        </m:r>
                      </m:den>
                    </m:f>
                  </m:sup>
                </m:sSup>
              </m:den>
            </m:f>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LGD</m:t>
            </m:r>
            <m:r>
              <w:rPr>
                <w:rFonts w:ascii="Cambria Math" w:eastAsia="Batang" w:hAnsi="Cambria Math"/>
                <w:color w:val="000000" w:themeColor="text1"/>
                <w:sz w:val="24"/>
                <w:szCs w:val="24"/>
              </w:rPr>
              <m:t>*PD</m:t>
            </m:r>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Tn</m:t>
                </m:r>
              </m:e>
            </m:d>
            <m:r>
              <w:rPr>
                <w:rFonts w:ascii="Cambria Math" w:eastAsia="Batang" w:hAnsi="Cambria Math"/>
                <w:color w:val="000000" w:themeColor="text1"/>
                <w:sz w:val="24"/>
                <w:szCs w:val="24"/>
              </w:rPr>
              <m:t xml:space="preserve">) </m:t>
            </m:r>
          </m:e>
        </m:nary>
      </m:oMath>
      <w:r w:rsidRPr="00063FDC">
        <w:rPr>
          <w:i/>
          <w:color w:val="000000" w:themeColor="text1"/>
          <w:sz w:val="24"/>
          <w:szCs w:val="24"/>
        </w:rPr>
        <w:t>,</w:t>
      </w:r>
    </w:p>
    <w:p w14:paraId="41FC2C62" w14:textId="77777777" w:rsidR="007558F7" w:rsidRPr="00063FDC" w:rsidRDefault="007558F7" w:rsidP="007558F7">
      <w:pPr>
        <w:pStyle w:val="a8"/>
        <w:spacing w:line="360" w:lineRule="auto"/>
        <w:ind w:left="0"/>
        <w:contextualSpacing w:val="0"/>
        <w:jc w:val="both"/>
        <w:rPr>
          <w:i/>
          <w:color w:val="000000" w:themeColor="text1"/>
          <w:sz w:val="24"/>
          <w:szCs w:val="24"/>
        </w:rPr>
      </w:pPr>
      <w:r w:rsidRPr="00063FDC">
        <w:rPr>
          <w:i/>
          <w:color w:val="000000" w:themeColor="text1"/>
          <w:sz w:val="24"/>
          <w:szCs w:val="24"/>
        </w:rPr>
        <w:t>где</w:t>
      </w:r>
    </w:p>
    <w:p w14:paraId="023F793B"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m:oMath>
        <m:r>
          <m:rPr>
            <m:sty m:val="bi"/>
          </m:rPr>
          <w:rPr>
            <w:rFonts w:ascii="Cambria Math" w:eastAsia="Batang" w:hAnsi="Cambria Math"/>
            <w:color w:val="000000" w:themeColor="text1"/>
            <w:szCs w:val="24"/>
          </w:rPr>
          <m:t>PV</m:t>
        </m:r>
        <m:r>
          <w:rPr>
            <w:rFonts w:ascii="Cambria Math" w:eastAsia="Batang" w:hAnsi="Cambria Math"/>
            <w:color w:val="000000" w:themeColor="text1"/>
            <w:szCs w:val="24"/>
          </w:rPr>
          <m:t xml:space="preserve"> </m:t>
        </m:r>
      </m:oMath>
      <w:r w:rsidRPr="00063FDC">
        <w:rPr>
          <w:rFonts w:eastAsia="Batang"/>
          <w:color w:val="000000" w:themeColor="text1"/>
          <w:szCs w:val="24"/>
        </w:rPr>
        <w:t>– справедливая стоимость актива;</w:t>
      </w:r>
    </w:p>
    <w:p w14:paraId="581A86CD"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i/>
          <w:color w:val="000000" w:themeColor="text1"/>
          <w:szCs w:val="24"/>
        </w:rPr>
        <w:t>N</w:t>
      </w:r>
      <w:r w:rsidRPr="00063FDC">
        <w:rPr>
          <w:rFonts w:eastAsia="Batang"/>
          <w:color w:val="000000" w:themeColor="text1"/>
          <w:szCs w:val="24"/>
        </w:rPr>
        <w:t xml:space="preserve"> - количество денежных потоков до даты погашения актива, начиная с даты определения СЧА;</w:t>
      </w:r>
    </w:p>
    <w:p w14:paraId="0CB2536D" w14:textId="77777777" w:rsidR="007558F7" w:rsidRPr="00063FDC" w:rsidRDefault="00B15290" w:rsidP="007558F7">
      <w:pPr>
        <w:pStyle w:val="12"/>
        <w:tabs>
          <w:tab w:val="left" w:pos="993"/>
        </w:tabs>
        <w:spacing w:line="360" w:lineRule="auto"/>
        <w:ind w:left="0"/>
        <w:jc w:val="both"/>
        <w:rPr>
          <w:rFonts w:eastAsia="Batang"/>
          <w:color w:val="000000" w:themeColor="text1"/>
          <w:szCs w:val="24"/>
        </w:rPr>
      </w:pPr>
      <m:oMath>
        <m:sSub>
          <m:sSubPr>
            <m:ctrlPr>
              <w:rPr>
                <w:rFonts w:ascii="Cambria Math" w:eastAsia="Batang" w:hAnsi="Cambria Math"/>
                <w:b/>
                <w:i/>
                <w:color w:val="000000" w:themeColor="text1"/>
                <w:szCs w:val="24"/>
              </w:rPr>
            </m:ctrlPr>
          </m:sSubPr>
          <m:e>
            <m:r>
              <m:rPr>
                <m:sty m:val="bi"/>
              </m:rPr>
              <w:rPr>
                <w:rFonts w:ascii="Cambria Math" w:eastAsia="Batang" w:hAnsi="Cambria Math"/>
                <w:color w:val="000000" w:themeColor="text1"/>
                <w:szCs w:val="24"/>
              </w:rPr>
              <m:t>P</m:t>
            </m:r>
          </m:e>
          <m:sub>
            <m:r>
              <m:rPr>
                <m:sty m:val="bi"/>
              </m:rPr>
              <w:rPr>
                <w:rFonts w:ascii="Cambria Math" w:eastAsia="Batang" w:hAnsi="Cambria Math"/>
                <w:color w:val="000000" w:themeColor="text1"/>
                <w:szCs w:val="24"/>
              </w:rPr>
              <m:t>n</m:t>
            </m:r>
          </m:sub>
        </m:sSub>
      </m:oMath>
      <w:r w:rsidR="007558F7" w:rsidRPr="00063FDC">
        <w:rPr>
          <w:rFonts w:eastAsia="Batang"/>
          <w:color w:val="000000" w:themeColor="text1"/>
          <w:szCs w:val="24"/>
        </w:rPr>
        <w:t xml:space="preserve"> - сумма n-ого денежного потока (проценты и основная сумма); </w:t>
      </w:r>
    </w:p>
    <w:p w14:paraId="303724C3"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rPr>
        <w:t>n</w:t>
      </w:r>
      <w:r w:rsidRPr="00063FDC">
        <w:rPr>
          <w:rFonts w:eastAsia="Batang"/>
          <w:color w:val="000000" w:themeColor="text1"/>
          <w:szCs w:val="24"/>
        </w:rPr>
        <w:t xml:space="preserve"> - порядковый номер денежного потока, начиная с даты определения СЧА;</w:t>
      </w:r>
    </w:p>
    <w:p w14:paraId="4E8A0E1A"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lang w:val="en-US"/>
        </w:rPr>
        <w:t>R</w:t>
      </w:r>
      <w:r w:rsidRPr="00063FDC">
        <w:rPr>
          <w:rFonts w:eastAsia="Batang"/>
          <w:b/>
          <w:color w:val="000000" w:themeColor="text1"/>
          <w:szCs w:val="24"/>
        </w:rPr>
        <w:t>(</w:t>
      </w:r>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безрисковая ставка на сроке </w:t>
      </w:r>
      <w:r w:rsidRPr="00063FDC">
        <w:rPr>
          <w:rFonts w:ascii="Cambria Math" w:eastAsia="Batang" w:hAnsi="Cambria Math" w:cs="Cambria Math"/>
          <w:color w:val="000000" w:themeColor="text1"/>
          <w:szCs w:val="24"/>
        </w:rPr>
        <w:t>𝑇</w:t>
      </w:r>
      <w:r w:rsidRPr="00063FDC">
        <w:rPr>
          <w:rFonts w:eastAsia="Batang"/>
          <w:color w:val="000000" w:themeColor="text1"/>
          <w:szCs w:val="24"/>
        </w:rPr>
        <w:t>(</w:t>
      </w:r>
      <w:r w:rsidRPr="00063FDC">
        <w:rPr>
          <w:rFonts w:ascii="Cambria Math" w:eastAsia="Batang" w:hAnsi="Cambria Math" w:cs="Cambria Math"/>
          <w:color w:val="000000" w:themeColor="text1"/>
          <w:szCs w:val="24"/>
        </w:rPr>
        <w:t>𝑛</w:t>
      </w:r>
      <w:r w:rsidRPr="00063FDC">
        <w:rPr>
          <w:rFonts w:eastAsia="Batang"/>
          <w:color w:val="000000" w:themeColor="text1"/>
          <w:szCs w:val="24"/>
        </w:rPr>
        <w:t>), определяемая в соответствии с порядком, установленным в разделе «Общие положения»;</w:t>
      </w:r>
    </w:p>
    <w:p w14:paraId="214BDD4E"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количество дней от даты определения СЧА до даты n-ого денежного потока;</w:t>
      </w:r>
    </w:p>
    <w:p w14:paraId="7675B55A"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P</w:t>
      </w:r>
      <w:r w:rsidRPr="00063FDC">
        <w:rPr>
          <w:rFonts w:eastAsia="Batang"/>
          <w:b/>
          <w:color w:val="000000" w:themeColor="text1"/>
          <w:sz w:val="24"/>
          <w:szCs w:val="24"/>
          <w:lang w:val="en-US"/>
        </w:rPr>
        <w:t>D</w:t>
      </w:r>
      <w:r w:rsidRPr="00063FDC">
        <w:rPr>
          <w:rFonts w:eastAsia="Batang"/>
          <w:b/>
          <w:color w:val="000000" w:themeColor="text1"/>
          <w:sz w:val="24"/>
          <w:szCs w:val="24"/>
        </w:rPr>
        <w:t>(</w:t>
      </w:r>
      <w:r w:rsidRPr="00063FDC">
        <w:rPr>
          <w:rFonts w:eastAsia="Batang"/>
          <w:b/>
          <w:color w:val="000000" w:themeColor="text1"/>
          <w:sz w:val="24"/>
          <w:szCs w:val="24"/>
          <w:lang w:val="en-US"/>
        </w:rPr>
        <w:t>Tn</w:t>
      </w:r>
      <w:r w:rsidRPr="00063FDC">
        <w:rPr>
          <w:rFonts w:eastAsia="Batang"/>
          <w:b/>
          <w:color w:val="000000" w:themeColor="text1"/>
          <w:sz w:val="24"/>
          <w:szCs w:val="24"/>
        </w:rPr>
        <w:t>)</w:t>
      </w:r>
      <w:r w:rsidRPr="00063FDC">
        <w:rPr>
          <w:rFonts w:eastAsia="Batang"/>
          <w:color w:val="000000" w:themeColor="text1"/>
          <w:sz w:val="24"/>
          <w:szCs w:val="24"/>
        </w:rPr>
        <w:t xml:space="preserve"> (Probability of Default, вероятность дефолта) – вероятность, с которой контрагент в течение  </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xml:space="preserve">) дней может оказаться в состоянии дефолта. Вероятность дефолта </w:t>
      </w:r>
      <w:r w:rsidRPr="00063FDC">
        <w:rPr>
          <w:rFonts w:eastAsia="Batang"/>
          <w:color w:val="000000" w:themeColor="text1"/>
          <w:sz w:val="24"/>
          <w:szCs w:val="24"/>
          <w:lang w:val="en-US"/>
        </w:rPr>
        <w:t>PD</w:t>
      </w:r>
      <w:r w:rsidRPr="00063FDC">
        <w:rPr>
          <w:rFonts w:eastAsia="Batang"/>
          <w:color w:val="000000" w:themeColor="text1"/>
          <w:sz w:val="24"/>
          <w:szCs w:val="24"/>
        </w:rPr>
        <w:t>(</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определяется с учетом положений, установленных в разделе 4 настоящего Приложения.</w:t>
      </w:r>
    </w:p>
    <w:p w14:paraId="1CBB2A7E"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LGD</w:t>
      </w:r>
      <w:r w:rsidRPr="00063FDC">
        <w:rPr>
          <w:rFonts w:eastAsia="Batang"/>
          <w:color w:val="000000" w:themeColor="text1"/>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063FDC" w:rsidRDefault="007558F7" w:rsidP="007558F7">
      <w:pPr>
        <w:autoSpaceDN w:val="0"/>
        <w:spacing w:line="360" w:lineRule="auto"/>
        <w:ind w:firstLine="709"/>
        <w:jc w:val="both"/>
        <w:rPr>
          <w:color w:val="000000" w:themeColor="text1"/>
          <w:sz w:val="24"/>
          <w:szCs w:val="24"/>
        </w:rPr>
      </w:pPr>
      <w:r w:rsidRPr="00063FDC">
        <w:rPr>
          <w:rFonts w:eastAsia="Batang"/>
          <w:color w:val="000000" w:themeColor="text1"/>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063FDC" w:rsidRDefault="007558F7" w:rsidP="00C8239C">
      <w:pPr>
        <w:pStyle w:val="a8"/>
        <w:numPr>
          <w:ilvl w:val="1"/>
          <w:numId w:val="22"/>
        </w:numPr>
        <w:tabs>
          <w:tab w:val="left" w:pos="993"/>
          <w:tab w:val="left" w:pos="1276"/>
        </w:tabs>
        <w:suppressAutoHyphens w:val="0"/>
        <w:autoSpaceDN w:val="0"/>
        <w:spacing w:line="360" w:lineRule="auto"/>
        <w:ind w:left="0" w:firstLine="709"/>
        <w:contextualSpacing w:val="0"/>
        <w:jc w:val="both"/>
        <w:rPr>
          <w:color w:val="000000" w:themeColor="text1"/>
          <w:sz w:val="24"/>
          <w:szCs w:val="24"/>
        </w:rPr>
      </w:pPr>
      <w:r w:rsidRPr="00063FDC">
        <w:rPr>
          <w:color w:val="000000" w:themeColor="text1"/>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w:t>
      </w:r>
      <w:r w:rsidRPr="00063FDC">
        <w:rPr>
          <w:color w:val="000000" w:themeColor="text1"/>
          <w:sz w:val="24"/>
          <w:szCs w:val="24"/>
          <w:lang w:val="en-US"/>
        </w:rPr>
        <w:t>LGD</w:t>
      </w:r>
      <w:r w:rsidRPr="00063FDC">
        <w:rPr>
          <w:color w:val="000000" w:themeColor="text1"/>
          <w:sz w:val="24"/>
          <w:szCs w:val="24"/>
        </w:rPr>
        <w:t xml:space="preserve"> заменяется на </w:t>
      </w:r>
      <w:r w:rsidRPr="00063FDC">
        <w:rPr>
          <w:color w:val="000000" w:themeColor="text1"/>
          <w:sz w:val="24"/>
          <w:szCs w:val="24"/>
          <w:lang w:val="en-US"/>
        </w:rPr>
        <w:t>CoR</w:t>
      </w:r>
      <w:r w:rsidRPr="00063FDC">
        <w:rPr>
          <w:color w:val="000000" w:themeColor="text1"/>
          <w:sz w:val="24"/>
          <w:szCs w:val="24"/>
        </w:rPr>
        <w:t xml:space="preserve">. </w:t>
      </w:r>
      <w:r w:rsidRPr="00063FDC">
        <w:rPr>
          <w:color w:val="000000" w:themeColor="text1"/>
          <w:sz w:val="24"/>
          <w:szCs w:val="24"/>
          <w:lang w:val="en-US"/>
        </w:rPr>
        <w:t>CoR</w:t>
      </w:r>
      <w:r w:rsidRPr="00063FDC">
        <w:rPr>
          <w:rFonts w:eastAsia="Batang"/>
          <w:color w:val="000000" w:themeColor="text1"/>
          <w:sz w:val="24"/>
          <w:szCs w:val="24"/>
        </w:rPr>
        <w:t xml:space="preserve"> </w:t>
      </w:r>
      <w:r w:rsidRPr="00063FDC">
        <w:rPr>
          <w:color w:val="000000" w:themeColor="text1"/>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63FDC">
        <w:rPr>
          <w:color w:val="000000" w:themeColor="text1"/>
          <w:sz w:val="24"/>
          <w:szCs w:val="24"/>
          <w:lang w:val="en-US"/>
        </w:rPr>
        <w:t>CoR</w:t>
      </w:r>
      <w:r w:rsidRPr="00063FDC">
        <w:rPr>
          <w:color w:val="000000" w:themeColor="text1"/>
          <w:sz w:val="24"/>
          <w:szCs w:val="24"/>
        </w:rPr>
        <w:t xml:space="preserve"> для стадии 1.</w:t>
      </w:r>
    </w:p>
    <w:p w14:paraId="248DFC94" w14:textId="77777777" w:rsidR="007558F7" w:rsidRPr="00063FDC" w:rsidRDefault="007558F7" w:rsidP="007558F7">
      <w:pPr>
        <w:autoSpaceDN w:val="0"/>
        <w:spacing w:line="360" w:lineRule="auto"/>
        <w:jc w:val="both"/>
        <w:rPr>
          <w:color w:val="000000" w:themeColor="text1"/>
          <w:sz w:val="24"/>
          <w:szCs w:val="24"/>
        </w:rPr>
      </w:pPr>
    </w:p>
    <w:p w14:paraId="761F7CE6" w14:textId="77777777" w:rsidR="007558F7" w:rsidRPr="00063FDC" w:rsidRDefault="007558F7" w:rsidP="007558F7">
      <w:pPr>
        <w:pStyle w:val="a0"/>
        <w:numPr>
          <w:ilvl w:val="0"/>
          <w:numId w:val="0"/>
        </w:numPr>
        <w:spacing w:before="0" w:after="0" w:line="360" w:lineRule="auto"/>
        <w:ind w:left="360" w:hanging="360"/>
        <w:jc w:val="both"/>
        <w:rPr>
          <w:b w:val="0"/>
          <w:color w:val="000000" w:themeColor="text1"/>
          <w:szCs w:val="24"/>
        </w:rPr>
      </w:pPr>
      <w:r w:rsidRPr="00063FDC">
        <w:rPr>
          <w:color w:val="000000" w:themeColor="text1"/>
          <w:szCs w:val="24"/>
        </w:rPr>
        <w:t>Раздел 2. Оценка активов. Обесценение без дефолта.</w:t>
      </w:r>
    </w:p>
    <w:p w14:paraId="31077A2B" w14:textId="77777777" w:rsidR="007558F7" w:rsidRPr="00063FDC" w:rsidRDefault="007558F7" w:rsidP="00C8239C">
      <w:pPr>
        <w:pStyle w:val="a8"/>
        <w:numPr>
          <w:ilvl w:val="0"/>
          <w:numId w:val="22"/>
        </w:numPr>
        <w:suppressAutoHyphens w:val="0"/>
        <w:autoSpaceDE/>
        <w:spacing w:line="360" w:lineRule="auto"/>
        <w:ind w:left="0" w:firstLine="709"/>
        <w:jc w:val="both"/>
        <w:rPr>
          <w:color w:val="000000" w:themeColor="text1"/>
          <w:sz w:val="24"/>
          <w:szCs w:val="24"/>
        </w:rPr>
      </w:pPr>
    </w:p>
    <w:p w14:paraId="06E68BC8" w14:textId="77777777" w:rsidR="007558F7" w:rsidRPr="00063FDC" w:rsidRDefault="007558F7" w:rsidP="00C8239C">
      <w:pPr>
        <w:pStyle w:val="a8"/>
        <w:numPr>
          <w:ilvl w:val="1"/>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События, ведущие к обесценению:</w:t>
      </w:r>
      <w:r w:rsidRPr="00063FDC" w:rsidDel="005A6B42">
        <w:rPr>
          <w:b/>
          <w:color w:val="000000" w:themeColor="text1"/>
          <w:sz w:val="24"/>
          <w:szCs w:val="24"/>
        </w:rPr>
        <w:t xml:space="preserve"> </w:t>
      </w:r>
    </w:p>
    <w:p w14:paraId="2346AE54" w14:textId="77777777" w:rsidR="007558F7" w:rsidRPr="00063FDC" w:rsidRDefault="007558F7" w:rsidP="00C8239C">
      <w:pPr>
        <w:pStyle w:val="a8"/>
        <w:numPr>
          <w:ilvl w:val="2"/>
          <w:numId w:val="22"/>
        </w:numPr>
        <w:suppressAutoHyphens w:val="0"/>
        <w:autoSpaceDE/>
        <w:spacing w:line="360" w:lineRule="auto"/>
        <w:ind w:left="0" w:firstLine="709"/>
        <w:jc w:val="both"/>
        <w:rPr>
          <w:i/>
          <w:color w:val="000000" w:themeColor="text1"/>
          <w:sz w:val="24"/>
          <w:szCs w:val="24"/>
        </w:rPr>
      </w:pPr>
      <w:r w:rsidRPr="00063FDC">
        <w:rPr>
          <w:color w:val="000000" w:themeColor="text1"/>
          <w:sz w:val="24"/>
          <w:szCs w:val="24"/>
        </w:rPr>
        <w:t xml:space="preserve"> В отношении </w:t>
      </w:r>
      <w:r w:rsidRPr="00063FDC">
        <w:rPr>
          <w:b/>
          <w:color w:val="000000" w:themeColor="text1"/>
          <w:sz w:val="24"/>
          <w:szCs w:val="24"/>
        </w:rPr>
        <w:t>юридических</w:t>
      </w:r>
      <w:r w:rsidRPr="00063FDC">
        <w:rPr>
          <w:color w:val="000000" w:themeColor="text1"/>
          <w:sz w:val="24"/>
          <w:szCs w:val="24"/>
        </w:rPr>
        <w:t xml:space="preserve"> лиц</w:t>
      </w:r>
    </w:p>
    <w:p w14:paraId="699A8F0D"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Снижение рейтинга на 1 ступень и более;</w:t>
      </w:r>
    </w:p>
    <w:p w14:paraId="17752452"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sidDel="001C0998">
        <w:rPr>
          <w:color w:val="000000" w:themeColor="text1"/>
          <w:sz w:val="24"/>
          <w:szCs w:val="24"/>
        </w:rPr>
        <w:t xml:space="preserve"> </w:t>
      </w:r>
      <w:r w:rsidRPr="00063FDC">
        <w:rPr>
          <w:color w:val="000000" w:themeColor="text1"/>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063FDC" w:rsidRDefault="007558F7" w:rsidP="007558F7">
      <w:pPr>
        <w:pStyle w:val="a8"/>
        <w:tabs>
          <w:tab w:val="left" w:pos="1560"/>
          <w:tab w:val="left" w:pos="1843"/>
        </w:tabs>
        <w:spacing w:line="360" w:lineRule="auto"/>
        <w:ind w:left="0" w:firstLine="709"/>
        <w:jc w:val="both"/>
        <w:rPr>
          <w:color w:val="000000" w:themeColor="text1"/>
          <w:sz w:val="24"/>
          <w:szCs w:val="24"/>
        </w:rPr>
      </w:pPr>
      <w:r w:rsidRPr="00063FDC">
        <w:rPr>
          <w:color w:val="000000" w:themeColor="text1"/>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(аннулирование) у контрагента лицензии на осуществление основного вида деятельности.</w:t>
      </w:r>
    </w:p>
    <w:p w14:paraId="0B18030B"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Наличие признаков несостоятельности (банкротства) заемщика</w:t>
      </w:r>
      <w:r w:rsidRPr="00063FDC">
        <w:rPr>
          <w:rStyle w:val="afa"/>
          <w:color w:val="000000" w:themeColor="text1"/>
          <w:sz w:val="24"/>
          <w:szCs w:val="24"/>
        </w:rPr>
        <w:footnoteReference w:id="9"/>
      </w:r>
      <w:r w:rsidRPr="00063FDC">
        <w:rPr>
          <w:color w:val="000000" w:themeColor="text1"/>
          <w:sz w:val="24"/>
          <w:szCs w:val="24"/>
        </w:rPr>
        <w:t>.</w:t>
      </w:r>
    </w:p>
    <w:p w14:paraId="3C241492"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063FDC">
        <w:rPr>
          <w:rStyle w:val="afa"/>
          <w:color w:val="000000" w:themeColor="text1"/>
          <w:sz w:val="24"/>
          <w:szCs w:val="24"/>
        </w:rPr>
        <w:footnoteReference w:id="10"/>
      </w:r>
      <w:r w:rsidRPr="00063FDC">
        <w:rPr>
          <w:color w:val="000000" w:themeColor="text1"/>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w:t>
      </w:r>
      <w:r w:rsidRPr="00063FDC">
        <w:rPr>
          <w:color w:val="000000" w:themeColor="text1"/>
          <w:sz w:val="24"/>
          <w:szCs w:val="24"/>
        </w:rPr>
        <w:t xml:space="preserve"> лиц</w:t>
      </w:r>
    </w:p>
    <w:p w14:paraId="4DCB9B25"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63FDC">
        <w:rPr>
          <w:rStyle w:val="afa"/>
          <w:color w:val="000000" w:themeColor="text1"/>
          <w:sz w:val="24"/>
          <w:szCs w:val="24"/>
        </w:rPr>
        <w:footnoteReference w:id="11"/>
      </w:r>
      <w:r w:rsidRPr="00063FDC">
        <w:rPr>
          <w:color w:val="000000" w:themeColor="text1"/>
          <w:sz w:val="24"/>
          <w:szCs w:val="24"/>
        </w:rPr>
        <w:t>.</w:t>
      </w:r>
    </w:p>
    <w:p w14:paraId="370FFFD4"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063FDC" w:rsidRDefault="007558F7" w:rsidP="00C8239C">
      <w:pPr>
        <w:pStyle w:val="a8"/>
        <w:numPr>
          <w:ilvl w:val="2"/>
          <w:numId w:val="22"/>
        </w:numPr>
        <w:tabs>
          <w:tab w:val="left" w:pos="993"/>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 и юридических</w:t>
      </w:r>
      <w:r w:rsidRPr="00063FDC">
        <w:rPr>
          <w:color w:val="000000" w:themeColor="text1"/>
          <w:sz w:val="24"/>
          <w:szCs w:val="24"/>
        </w:rPr>
        <w:t xml:space="preserve"> лиц</w:t>
      </w:r>
    </w:p>
    <w:p w14:paraId="6598010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063FDC" w:rsidRDefault="007558F7" w:rsidP="007558F7">
      <w:pPr>
        <w:pStyle w:val="a8"/>
        <w:tabs>
          <w:tab w:val="left" w:pos="1701"/>
        </w:tabs>
        <w:spacing w:line="360" w:lineRule="auto"/>
        <w:ind w:left="0" w:firstLine="709"/>
        <w:jc w:val="both"/>
        <w:rPr>
          <w:color w:val="000000" w:themeColor="text1"/>
          <w:sz w:val="24"/>
          <w:szCs w:val="24"/>
        </w:rPr>
      </w:pPr>
      <w:r w:rsidRPr="00063FDC">
        <w:rPr>
          <w:color w:val="000000" w:themeColor="text1"/>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063FDC" w:rsidRDefault="007558F7" w:rsidP="007558F7">
      <w:pPr>
        <w:pStyle w:val="a8"/>
        <w:tabs>
          <w:tab w:val="left" w:pos="1701"/>
        </w:tabs>
        <w:spacing w:line="360" w:lineRule="auto"/>
        <w:ind w:left="0" w:firstLine="709"/>
        <w:rPr>
          <w:color w:val="000000" w:themeColor="text1"/>
          <w:sz w:val="24"/>
          <w:szCs w:val="24"/>
        </w:rPr>
      </w:pPr>
      <w:r w:rsidRPr="00063FDC">
        <w:rPr>
          <w:color w:val="000000" w:themeColor="text1"/>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063FDC" w:rsidRDefault="007558F7" w:rsidP="00C8239C">
      <w:pPr>
        <w:pStyle w:val="a8"/>
        <w:numPr>
          <w:ilvl w:val="1"/>
          <w:numId w:val="22"/>
        </w:numPr>
        <w:tabs>
          <w:tab w:val="left" w:pos="1276"/>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Обесценение по различным активам, относящимся к контрагенту.</w:t>
      </w:r>
    </w:p>
    <w:p w14:paraId="6F50945D"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63FDC">
        <w:rPr>
          <w:rStyle w:val="afa"/>
          <w:color w:val="000000" w:themeColor="text1"/>
          <w:sz w:val="24"/>
          <w:szCs w:val="24"/>
        </w:rPr>
        <w:footnoteReference w:id="12"/>
      </w:r>
      <w:r w:rsidRPr="00063FDC">
        <w:rPr>
          <w:color w:val="000000" w:themeColor="text1"/>
          <w:sz w:val="24"/>
          <w:szCs w:val="24"/>
        </w:rPr>
        <w:t xml:space="preserve">. </w:t>
      </w:r>
    </w:p>
    <w:p w14:paraId="0158B9C3"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Мониторинг признаков обесценения</w:t>
      </w:r>
    </w:p>
    <w:p w14:paraId="474C811A"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рынку ценных бумаг проводится на каждую дату расчета СЧА.</w:t>
      </w:r>
    </w:p>
    <w:p w14:paraId="20629EE0"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Мониторинг по физическим лицам проводится раз в 6 месяцев, </w:t>
      </w:r>
    </w:p>
    <w:p w14:paraId="0275CB4C"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063FDC" w:rsidRDefault="007558F7" w:rsidP="00C8239C">
      <w:pPr>
        <w:pStyle w:val="a8"/>
        <w:numPr>
          <w:ilvl w:val="1"/>
          <w:numId w:val="22"/>
        </w:numPr>
        <w:tabs>
          <w:tab w:val="left" w:pos="993"/>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Выход из состояния обесценения.</w:t>
      </w:r>
      <w:r w:rsidRPr="00063FDC">
        <w:rPr>
          <w:color w:val="000000" w:themeColor="text1"/>
          <w:sz w:val="24"/>
          <w:szCs w:val="24"/>
        </w:rPr>
        <w:t xml:space="preserve"> </w:t>
      </w:r>
    </w:p>
    <w:p w14:paraId="6319BEB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обесцененной в следующих случаях:</w:t>
      </w:r>
    </w:p>
    <w:p w14:paraId="6DB5A0BB" w14:textId="77777777" w:rsidR="007558F7" w:rsidRPr="00063FDC" w:rsidRDefault="007558F7" w:rsidP="00C8239C">
      <w:pPr>
        <w:pStyle w:val="a8"/>
        <w:numPr>
          <w:ilvl w:val="2"/>
          <w:numId w:val="22"/>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юридических лиц</w:t>
      </w:r>
    </w:p>
    <w:p w14:paraId="6BE41F9D"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063FDC">
        <w:rPr>
          <w:color w:val="000000" w:themeColor="text1"/>
          <w:sz w:val="24"/>
          <w:szCs w:val="24"/>
          <w:lang w:val="en-US"/>
        </w:rPr>
        <w:t>G</w:t>
      </w:r>
      <w:r w:rsidRPr="00063FDC">
        <w:rPr>
          <w:color w:val="000000" w:themeColor="text1"/>
          <w:sz w:val="24"/>
          <w:szCs w:val="24"/>
        </w:rPr>
        <w:t xml:space="preserve">-кривой к прежним уровням (либо уровням компаний, которые до момента обесценения торговались с близким спрэдом к </w:t>
      </w:r>
      <w:r w:rsidRPr="00063FDC">
        <w:rPr>
          <w:color w:val="000000" w:themeColor="text1"/>
          <w:sz w:val="24"/>
          <w:szCs w:val="24"/>
          <w:lang w:val="en-US"/>
        </w:rPr>
        <w:t>G</w:t>
      </w:r>
      <w:r w:rsidRPr="00063FDC">
        <w:rPr>
          <w:color w:val="000000" w:themeColor="text1"/>
          <w:sz w:val="24"/>
          <w:szCs w:val="24"/>
        </w:rPr>
        <w:t>-кривой</w:t>
      </w:r>
      <w:r w:rsidRPr="00063FDC">
        <w:rPr>
          <w:rStyle w:val="afa"/>
          <w:color w:val="000000" w:themeColor="text1"/>
          <w:sz w:val="24"/>
          <w:szCs w:val="24"/>
        </w:rPr>
        <w:footnoteReference w:id="13"/>
      </w:r>
      <w:r w:rsidRPr="00063FDC">
        <w:rPr>
          <w:color w:val="000000" w:themeColor="text1"/>
          <w:sz w:val="24"/>
          <w:szCs w:val="24"/>
        </w:rPr>
        <w:t>).</w:t>
      </w:r>
    </w:p>
    <w:p w14:paraId="2359F08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физических лиц.</w:t>
      </w:r>
    </w:p>
    <w:p w14:paraId="7B62074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63FDC">
        <w:rPr>
          <w:rStyle w:val="afa"/>
          <w:color w:val="000000" w:themeColor="text1"/>
          <w:sz w:val="24"/>
          <w:szCs w:val="24"/>
        </w:rPr>
        <w:footnoteReference w:id="14"/>
      </w:r>
    </w:p>
    <w:p w14:paraId="7ABD437E"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юридических и физических лиц.</w:t>
      </w:r>
    </w:p>
    <w:p w14:paraId="469CA7C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063FDC" w:rsidRDefault="007558F7" w:rsidP="00C8239C">
      <w:pPr>
        <w:pStyle w:val="a8"/>
        <w:numPr>
          <w:ilvl w:val="1"/>
          <w:numId w:val="22"/>
        </w:numPr>
        <w:tabs>
          <w:tab w:val="left" w:pos="1134"/>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Расчет справедливой стоимости актива с учетом признаков обесценения (до дефолта контрагента)</w:t>
      </w:r>
    </w:p>
    <w:p w14:paraId="30EF6B5D"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63FDC">
        <w:rPr>
          <w:color w:val="000000" w:themeColor="text1"/>
          <w:sz w:val="24"/>
          <w:szCs w:val="24"/>
          <w:lang w:val="en-US"/>
        </w:rPr>
        <w:t>CoR</w:t>
      </w:r>
      <w:r w:rsidRPr="00063FDC">
        <w:rPr>
          <w:color w:val="000000" w:themeColor="text1"/>
          <w:sz w:val="24"/>
          <w:szCs w:val="24"/>
        </w:rPr>
        <w:t xml:space="preserve"> для стадии 2. </w:t>
      </w:r>
    </w:p>
    <w:p w14:paraId="70ACF3E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просроченной части задолженности в Формуле 2 в качестве (</w:t>
      </w:r>
      <w:r w:rsidRPr="00063FDC">
        <w:rPr>
          <w:color w:val="000000" w:themeColor="text1"/>
          <w:sz w:val="24"/>
          <w:szCs w:val="24"/>
          <w:lang w:val="en-US"/>
        </w:rPr>
        <w:t>Tn</w:t>
      </w:r>
      <w:r w:rsidRPr="00063FDC">
        <w:rPr>
          <w:color w:val="000000" w:themeColor="text1"/>
          <w:sz w:val="24"/>
          <w:szCs w:val="24"/>
        </w:rPr>
        <w:t>) принимается 1 день, если мотивированным суждением не установлен иной срок.</w:t>
      </w:r>
    </w:p>
    <w:p w14:paraId="3616A8AF" w14:textId="77777777" w:rsidR="007558F7" w:rsidRPr="00063FDC" w:rsidRDefault="007558F7" w:rsidP="007558F7">
      <w:pPr>
        <w:tabs>
          <w:tab w:val="left" w:pos="1701"/>
        </w:tabs>
        <w:spacing w:line="360" w:lineRule="auto"/>
        <w:ind w:firstLine="709"/>
        <w:jc w:val="both"/>
        <w:rPr>
          <w:i/>
          <w:color w:val="000000" w:themeColor="text1"/>
          <w:sz w:val="24"/>
          <w:szCs w:val="24"/>
        </w:rPr>
      </w:pPr>
      <w:r w:rsidRPr="00063FDC">
        <w:rPr>
          <w:i/>
          <w:color w:val="000000" w:themeColor="text1"/>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063FDC" w:rsidRDefault="007558F7" w:rsidP="007558F7">
      <w:pPr>
        <w:tabs>
          <w:tab w:val="left" w:pos="1701"/>
        </w:tabs>
        <w:spacing w:line="360" w:lineRule="auto"/>
        <w:ind w:firstLine="709"/>
        <w:jc w:val="both"/>
        <w:rPr>
          <w:i/>
          <w:color w:val="000000" w:themeColor="text1"/>
          <w:sz w:val="24"/>
          <w:szCs w:val="24"/>
        </w:rPr>
      </w:pPr>
    </w:p>
    <w:p w14:paraId="4E34CBB7"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Раздел 3. Оценка активов, находящихся в состоянии дефолта.</w:t>
      </w:r>
    </w:p>
    <w:p w14:paraId="5A780851" w14:textId="77777777" w:rsidR="007558F7" w:rsidRPr="00063FDC" w:rsidRDefault="007558F7" w:rsidP="00C8239C">
      <w:pPr>
        <w:pStyle w:val="a8"/>
        <w:numPr>
          <w:ilvl w:val="0"/>
          <w:numId w:val="22"/>
        </w:numPr>
        <w:suppressAutoHyphens w:val="0"/>
        <w:autoSpaceDE/>
        <w:spacing w:line="360" w:lineRule="auto"/>
        <w:ind w:left="0" w:firstLine="709"/>
        <w:jc w:val="both"/>
        <w:rPr>
          <w:b/>
          <w:color w:val="000000" w:themeColor="text1"/>
          <w:sz w:val="24"/>
          <w:szCs w:val="24"/>
        </w:rPr>
      </w:pPr>
    </w:p>
    <w:p w14:paraId="49E3E74A"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063FDC" w14:paraId="52D64B67" w14:textId="77777777" w:rsidTr="00AF784E">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063FDC" w:rsidRDefault="007558F7" w:rsidP="00AF784E">
            <w:pPr>
              <w:pStyle w:val="a8"/>
              <w:spacing w:line="360" w:lineRule="auto"/>
              <w:jc w:val="center"/>
              <w:rPr>
                <w:b/>
                <w:bCs/>
                <w:color w:val="000000" w:themeColor="text1"/>
                <w:sz w:val="24"/>
                <w:szCs w:val="24"/>
              </w:rPr>
            </w:pPr>
            <w:r w:rsidRPr="00063FDC">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Срок</w:t>
            </w:r>
          </w:p>
        </w:tc>
      </w:tr>
      <w:tr w:rsidR="007558F7" w:rsidRPr="00063FDC" w14:paraId="54DFF00F"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облигациям российских/иностранных эмитентов</w:t>
            </w:r>
            <w:r w:rsidRPr="00063FDC">
              <w:rPr>
                <w:rStyle w:val="afa"/>
                <w:color w:val="000000" w:themeColor="text1"/>
                <w:sz w:val="24"/>
                <w:szCs w:val="24"/>
              </w:rPr>
              <w:footnoteReference w:id="15"/>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7 / 10 рабочих дней</w:t>
            </w:r>
          </w:p>
        </w:tc>
      </w:tr>
      <w:tr w:rsidR="007558F7" w:rsidRPr="00063FDC" w14:paraId="0A113427"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выплате дохода по долевым активам российских/иностранных эмитентов</w:t>
            </w:r>
            <w:r w:rsidRPr="00063FDC">
              <w:rPr>
                <w:rStyle w:val="afa"/>
                <w:color w:val="000000" w:themeColor="text1"/>
                <w:sz w:val="24"/>
                <w:szCs w:val="24"/>
              </w:rPr>
              <w:footnoteReference w:id="16"/>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25 рабочих </w:t>
            </w:r>
          </w:p>
        </w:tc>
      </w:tr>
      <w:tr w:rsidR="007558F7" w:rsidRPr="00063FDC" w14:paraId="4E0E4C3D"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30 календарных дней</w:t>
            </w:r>
          </w:p>
        </w:tc>
      </w:tr>
      <w:tr w:rsidR="007558F7" w:rsidRPr="00063FDC" w14:paraId="7D25B6E2" w14:textId="77777777" w:rsidTr="00AF784E">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5 рабочих дней</w:t>
            </w:r>
          </w:p>
        </w:tc>
      </w:tr>
      <w:tr w:rsidR="007558F7" w:rsidRPr="00063FDC" w14:paraId="66700705" w14:textId="77777777" w:rsidTr="00AF784E">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90 календарных дней</w:t>
            </w:r>
          </w:p>
        </w:tc>
      </w:tr>
    </w:tbl>
    <w:p w14:paraId="72CA33A3" w14:textId="77777777" w:rsidR="007558F7" w:rsidRPr="00063FDC"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063FDC" w:rsidRDefault="007558F7" w:rsidP="00C8239C">
      <w:pPr>
        <w:pStyle w:val="a8"/>
        <w:numPr>
          <w:ilvl w:val="1"/>
          <w:numId w:val="22"/>
        </w:numPr>
        <w:tabs>
          <w:tab w:val="left" w:pos="1418"/>
          <w:tab w:val="left" w:pos="1701"/>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Присвоение заемщику/контрагенту рейтинга </w:t>
      </w:r>
      <w:r w:rsidRPr="00063FDC">
        <w:rPr>
          <w:color w:val="000000" w:themeColor="text1"/>
          <w:sz w:val="24"/>
          <w:szCs w:val="24"/>
          <w:lang w:val="en-US"/>
        </w:rPr>
        <w:t>SD</w:t>
      </w:r>
      <w:r w:rsidRPr="00063FDC">
        <w:rPr>
          <w:color w:val="000000" w:themeColor="text1"/>
          <w:sz w:val="24"/>
          <w:szCs w:val="24"/>
        </w:rPr>
        <w:t xml:space="preserve"> (</w:t>
      </w:r>
      <w:r w:rsidRPr="00063FDC">
        <w:rPr>
          <w:color w:val="000000" w:themeColor="text1"/>
          <w:sz w:val="24"/>
          <w:szCs w:val="24"/>
          <w:lang w:val="en-US"/>
        </w:rPr>
        <w:t>Selected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xml:space="preserve">) или </w:t>
      </w:r>
      <w:r w:rsidRPr="00063FDC">
        <w:rPr>
          <w:color w:val="000000" w:themeColor="text1"/>
          <w:sz w:val="24"/>
          <w:szCs w:val="24"/>
          <w:lang w:val="en-US"/>
        </w:rPr>
        <w:t>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со стороны рейтинговых агентств.</w:t>
      </w:r>
    </w:p>
    <w:p w14:paraId="508048B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лица банкротом.</w:t>
      </w:r>
    </w:p>
    <w:p w14:paraId="5E49632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объявлении физического лица пропавшим без вести.</w:t>
      </w:r>
    </w:p>
    <w:p w14:paraId="33F3F771"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информации о наступлении смерти физического лица.</w:t>
      </w:r>
    </w:p>
    <w:p w14:paraId="31687D99"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Дефолт по различным активам, относящимся к контрагенту.</w:t>
      </w:r>
    </w:p>
    <w:p w14:paraId="10A71E5E"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063FDC">
        <w:rPr>
          <w:rStyle w:val="afa"/>
          <w:color w:val="000000" w:themeColor="text1"/>
          <w:sz w:val="24"/>
          <w:szCs w:val="24"/>
        </w:rPr>
        <w:footnoteReference w:id="17"/>
      </w:r>
      <w:r w:rsidRPr="00063FDC">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063FDC" w:rsidRDefault="007558F7" w:rsidP="00C8239C">
      <w:pPr>
        <w:pStyle w:val="a8"/>
        <w:numPr>
          <w:ilvl w:val="1"/>
          <w:numId w:val="22"/>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Оценка справедливой стоимости активов, находящихся в дефолте</w:t>
      </w:r>
    </w:p>
    <w:p w14:paraId="3CD61C8A" w14:textId="77777777" w:rsidR="007558F7" w:rsidRPr="00063FDC" w:rsidRDefault="007558F7" w:rsidP="007558F7">
      <w:pPr>
        <w:autoSpaceDN w:val="0"/>
        <w:spacing w:line="360" w:lineRule="auto"/>
        <w:jc w:val="both"/>
        <w:rPr>
          <w:b/>
          <w:color w:val="000000" w:themeColor="text1"/>
          <w:sz w:val="24"/>
          <w:szCs w:val="24"/>
        </w:rPr>
      </w:pPr>
      <w:r w:rsidRPr="00063FDC">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 xml:space="preserve">)) принимается равными 1. </w:t>
      </w:r>
    </w:p>
    <w:p w14:paraId="7D119D91" w14:textId="77777777" w:rsidR="007558F7" w:rsidRPr="00063FDC" w:rsidRDefault="007558F7" w:rsidP="00C8239C">
      <w:pPr>
        <w:pStyle w:val="a8"/>
        <w:numPr>
          <w:ilvl w:val="2"/>
          <w:numId w:val="22"/>
        </w:numPr>
        <w:tabs>
          <w:tab w:val="left" w:pos="1134"/>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Задолженность физических лиц, оцениваемая до наступления событий дефолта с использованием </w:t>
      </w:r>
      <w:r w:rsidRPr="00063FDC">
        <w:rPr>
          <w:color w:val="000000" w:themeColor="text1"/>
          <w:sz w:val="24"/>
          <w:szCs w:val="24"/>
          <w:lang w:val="en-US"/>
        </w:rPr>
        <w:t>Cost</w:t>
      </w:r>
      <w:r w:rsidRPr="00063FDC">
        <w:rPr>
          <w:color w:val="000000" w:themeColor="text1"/>
          <w:sz w:val="24"/>
          <w:szCs w:val="24"/>
        </w:rPr>
        <w:t xml:space="preserve"> </w:t>
      </w:r>
      <w:r w:rsidRPr="00063FDC">
        <w:rPr>
          <w:color w:val="000000" w:themeColor="text1"/>
          <w:sz w:val="24"/>
          <w:szCs w:val="24"/>
          <w:lang w:val="en-US"/>
        </w:rPr>
        <w:t>Of</w:t>
      </w:r>
      <w:r w:rsidRPr="00063FDC">
        <w:rPr>
          <w:color w:val="000000" w:themeColor="text1"/>
          <w:sz w:val="24"/>
          <w:szCs w:val="24"/>
        </w:rPr>
        <w:t xml:space="preserve"> </w:t>
      </w:r>
      <w:r w:rsidRPr="00063FDC">
        <w:rPr>
          <w:color w:val="000000" w:themeColor="text1"/>
          <w:sz w:val="24"/>
          <w:szCs w:val="24"/>
          <w:lang w:val="en-US"/>
        </w:rPr>
        <w:t>Risk</w:t>
      </w:r>
      <w:r w:rsidRPr="00063FDC">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063FDC">
        <w:rPr>
          <w:color w:val="000000" w:themeColor="text1"/>
          <w:sz w:val="24"/>
          <w:szCs w:val="24"/>
          <w:lang w:val="en-US"/>
        </w:rPr>
        <w:t>PD</w:t>
      </w:r>
      <w:r w:rsidRPr="00063FDC">
        <w:rPr>
          <w:color w:val="000000" w:themeColor="text1"/>
          <w:sz w:val="24"/>
          <w:szCs w:val="24"/>
        </w:rPr>
        <w:t xml:space="preserve"> и </w:t>
      </w:r>
      <w:r w:rsidRPr="00063FDC">
        <w:rPr>
          <w:color w:val="000000" w:themeColor="text1"/>
          <w:sz w:val="24"/>
          <w:szCs w:val="24"/>
          <w:lang w:val="en-US"/>
        </w:rPr>
        <w:t>LGD</w:t>
      </w:r>
      <w:r w:rsidRPr="00063FDC">
        <w:rPr>
          <w:color w:val="000000" w:themeColor="text1"/>
          <w:sz w:val="24"/>
          <w:szCs w:val="24"/>
        </w:rPr>
        <w:t xml:space="preserve">. При этом значение </w:t>
      </w:r>
      <w:r w:rsidRPr="00063FDC">
        <w:rPr>
          <w:color w:val="000000" w:themeColor="text1"/>
          <w:sz w:val="24"/>
          <w:szCs w:val="24"/>
          <w:lang w:val="en-US"/>
        </w:rPr>
        <w:t xml:space="preserve">PD </w:t>
      </w:r>
      <w:r w:rsidRPr="00063FDC">
        <w:rPr>
          <w:color w:val="000000" w:themeColor="text1"/>
          <w:sz w:val="24"/>
          <w:szCs w:val="24"/>
        </w:rPr>
        <w:t xml:space="preserve">для такой задолженности принимается равным 1. </w:t>
      </w:r>
    </w:p>
    <w:p w14:paraId="27D6AFCD" w14:textId="77777777" w:rsidR="007558F7" w:rsidRPr="00063FDC" w:rsidRDefault="007558F7" w:rsidP="00C8239C">
      <w:pPr>
        <w:pStyle w:val="a8"/>
        <w:numPr>
          <w:ilvl w:val="2"/>
          <w:numId w:val="22"/>
        </w:numPr>
        <w:tabs>
          <w:tab w:val="left" w:pos="1134"/>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если контрагент/эмитент находится в состоянии банкротства</w:t>
      </w:r>
    </w:p>
    <w:p w14:paraId="7223032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дефолтной в следующих случаях:</w:t>
      </w:r>
    </w:p>
    <w:p w14:paraId="141DB324"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возобновления обслуживания долга по графику.</w:t>
      </w:r>
    </w:p>
    <w:p w14:paraId="1720E83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rFonts w:eastAsia="Batang"/>
          <w:color w:val="000000" w:themeColor="text1"/>
          <w:sz w:val="24"/>
          <w:szCs w:val="24"/>
        </w:rPr>
      </w:pPr>
      <w:r w:rsidRPr="00063FDC">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063FDC"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p>
    <w:p w14:paraId="5BF7681B"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4. Порядок определения PD по задолженности юридических лиц.</w:t>
      </w:r>
    </w:p>
    <w:p w14:paraId="3D61B883" w14:textId="77777777" w:rsidR="007558F7" w:rsidRPr="00063FDC" w:rsidRDefault="007558F7" w:rsidP="007558F7">
      <w:pPr>
        <w:spacing w:after="60" w:line="360" w:lineRule="auto"/>
        <w:rPr>
          <w:color w:val="000000" w:themeColor="text1"/>
          <w:sz w:val="24"/>
          <w:szCs w:val="24"/>
        </w:rPr>
      </w:pPr>
    </w:p>
    <w:p w14:paraId="68F05839" w14:textId="77777777" w:rsidR="007558F7" w:rsidRPr="00063FDC" w:rsidRDefault="007558F7" w:rsidP="00C8239C">
      <w:pPr>
        <w:pStyle w:val="a8"/>
        <w:numPr>
          <w:ilvl w:val="0"/>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Этапы определения вероятности дефолта (PD) по задолженности юридических лиц:</w:t>
      </w:r>
    </w:p>
    <w:p w14:paraId="67756C5B"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определяется годовая вероятность дефолта контрагента;</w:t>
      </w:r>
    </w:p>
    <w:p w14:paraId="1ECABD3F"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при необходимости осуществляется корректировка на обесценение;</w:t>
      </w:r>
    </w:p>
    <w:p w14:paraId="62CAD9B9"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Вероятность дефолта (PD) на горизонте 1 год определяется следующими методами:</w:t>
      </w:r>
    </w:p>
    <w:p w14:paraId="3D72B3DA"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Если отобранный рейтинг присвоен рейтинговым агентством </w:t>
      </w:r>
      <w:r w:rsidRPr="00063FDC">
        <w:rPr>
          <w:color w:val="000000" w:themeColor="text1"/>
          <w:sz w:val="24"/>
          <w:szCs w:val="24"/>
          <w:lang w:val="en-US"/>
        </w:rPr>
        <w:t>S</w:t>
      </w:r>
      <w:r w:rsidRPr="00063FDC">
        <w:rPr>
          <w:color w:val="000000" w:themeColor="text1"/>
          <w:sz w:val="24"/>
          <w:szCs w:val="24"/>
        </w:rPr>
        <w:t>&amp;</w:t>
      </w:r>
      <w:r w:rsidRPr="00063FDC">
        <w:rPr>
          <w:color w:val="000000" w:themeColor="text1"/>
          <w:sz w:val="24"/>
          <w:szCs w:val="24"/>
          <w:lang w:val="en-US"/>
        </w:rPr>
        <w:t>P</w:t>
      </w:r>
      <w:r w:rsidRPr="00063FDC">
        <w:rPr>
          <w:color w:val="000000" w:themeColor="text1"/>
          <w:sz w:val="24"/>
          <w:szCs w:val="24"/>
        </w:rPr>
        <w:t xml:space="preserve"> или </w:t>
      </w:r>
      <w:r w:rsidRPr="00063FDC">
        <w:rPr>
          <w:color w:val="000000" w:themeColor="text1"/>
          <w:sz w:val="24"/>
          <w:szCs w:val="24"/>
          <w:lang w:val="en-US"/>
        </w:rPr>
        <w:t>Fitch</w:t>
      </w:r>
      <w:r w:rsidRPr="00063FDC">
        <w:rPr>
          <w:color w:val="000000" w:themeColor="text1"/>
          <w:sz w:val="24"/>
          <w:szCs w:val="24"/>
        </w:rPr>
        <w:t xml:space="preserve">, то в соответствии с приложением Д определяется соответствующий ему рейтинг, присвоенный агентством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w:t>
      </w:r>
    </w:p>
    <w:p w14:paraId="3A2D7FD0"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отобранного рейтинга используется вероятность дефолта в соответствии с п. 4.1.1.</w:t>
      </w:r>
    </w:p>
    <w:p w14:paraId="7E8D2D58"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 xml:space="preserve"> в соответствии п. 4.1.1.2 – 4.1.1.4.</w:t>
      </w:r>
    </w:p>
    <w:p w14:paraId="0911808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63FDC">
        <w:rPr>
          <w:color w:val="000000" w:themeColor="text1"/>
          <w:sz w:val="24"/>
          <w:szCs w:val="24"/>
          <w:lang w:val="en-US"/>
        </w:rPr>
        <w:t>g</w:t>
      </w:r>
      <w:r w:rsidRPr="00063FDC">
        <w:rPr>
          <w:color w:val="000000" w:themeColor="text1"/>
          <w:sz w:val="24"/>
          <w:szCs w:val="24"/>
        </w:rPr>
        <w:t xml:space="preserve">» с 1998 года. Выбирается значение </w:t>
      </w:r>
      <w:r w:rsidRPr="00063FDC">
        <w:rPr>
          <w:color w:val="000000" w:themeColor="text1"/>
          <w:sz w:val="24"/>
          <w:szCs w:val="24"/>
          <w:lang w:val="en-US"/>
        </w:rPr>
        <w:t>PD</w:t>
      </w:r>
      <w:r w:rsidRPr="00063FDC">
        <w:rPr>
          <w:color w:val="000000" w:themeColor="text1"/>
          <w:sz w:val="24"/>
          <w:szCs w:val="24"/>
        </w:rPr>
        <w:t xml:space="preserve"> для срока 1 год;</w:t>
      </w:r>
    </w:p>
    <w:p w14:paraId="5AAB424A"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63FDC">
        <w:rPr>
          <w:rStyle w:val="afa"/>
          <w:color w:val="000000" w:themeColor="text1"/>
          <w:sz w:val="24"/>
          <w:szCs w:val="24"/>
        </w:rPr>
        <w:footnoteReference w:id="18"/>
      </w:r>
      <w:r w:rsidRPr="00063FDC">
        <w:rPr>
          <w:color w:val="000000" w:themeColor="text1"/>
          <w:sz w:val="24"/>
          <w:szCs w:val="24"/>
        </w:rPr>
        <w:t xml:space="preserve"> или  если его выручка составляет менее 4 млрд. руб. в год.</w:t>
      </w:r>
    </w:p>
    <w:p w14:paraId="771AFFE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063FDC">
        <w:rPr>
          <w:color w:val="000000" w:themeColor="text1"/>
          <w:sz w:val="24"/>
          <w:szCs w:val="24"/>
          <w:lang w:val="en-US"/>
        </w:rPr>
        <w:t>Ca</w:t>
      </w:r>
      <w:r w:rsidRPr="00063FDC">
        <w:rPr>
          <w:color w:val="000000" w:themeColor="text1"/>
          <w:sz w:val="24"/>
          <w:szCs w:val="24"/>
        </w:rPr>
        <w:t>-</w:t>
      </w:r>
      <w:r w:rsidRPr="00063FDC">
        <w:rPr>
          <w:color w:val="000000" w:themeColor="text1"/>
          <w:sz w:val="24"/>
          <w:szCs w:val="24"/>
          <w:lang w:val="en-US"/>
        </w:rPr>
        <w:t>C</w:t>
      </w:r>
      <w:r w:rsidRPr="00063FDC">
        <w:rPr>
          <w:color w:val="000000" w:themeColor="text1"/>
          <w:sz w:val="24"/>
          <w:szCs w:val="24"/>
        </w:rPr>
        <w:t>).</w:t>
      </w:r>
    </w:p>
    <w:p w14:paraId="74BD651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По обесцененным обязательствам контрагентов-физических лиц применяется CoR, рас</w:t>
      </w:r>
      <w:r w:rsidRPr="00063FDC">
        <w:rPr>
          <w:color w:val="000000" w:themeColor="text1"/>
          <w:sz w:val="24"/>
          <w:szCs w:val="24"/>
          <w:lang w:val="en-US"/>
        </w:rPr>
        <w:t>c</w:t>
      </w:r>
      <w:r w:rsidRPr="00063FDC">
        <w:rPr>
          <w:color w:val="000000" w:themeColor="text1"/>
          <w:sz w:val="24"/>
          <w:szCs w:val="24"/>
        </w:rPr>
        <w:t xml:space="preserve">читанный для стадии 2. </w:t>
      </w:r>
    </w:p>
    <w:p w14:paraId="20DB675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просроченных денежных потоков</w:t>
      </w:r>
      <w:r w:rsidRPr="00063FDC">
        <w:rPr>
          <w:rStyle w:val="afa"/>
          <w:color w:val="000000" w:themeColor="text1"/>
          <w:sz w:val="24"/>
          <w:szCs w:val="24"/>
        </w:rPr>
        <w:footnoteReference w:id="19"/>
      </w:r>
      <w:r w:rsidRPr="00063FDC">
        <w:rPr>
          <w:color w:val="000000" w:themeColor="text1"/>
          <w:sz w:val="24"/>
          <w:szCs w:val="24"/>
        </w:rPr>
        <w:t xml:space="preserve"> вероятность дефолта рассчитывается в соответствии с Формулой 3:</w:t>
      </w:r>
    </w:p>
    <w:p w14:paraId="68B1DDAD"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3.</w:t>
      </w:r>
    </w:p>
    <w:p w14:paraId="0A9211F0" w14:textId="77777777" w:rsidR="007558F7" w:rsidRPr="00063FDC" w:rsidRDefault="007558F7" w:rsidP="007558F7">
      <w:pPr>
        <w:autoSpaceDN w:val="0"/>
        <w:spacing w:line="360" w:lineRule="auto"/>
        <w:ind w:firstLine="709"/>
        <w:jc w:val="both"/>
        <w:rPr>
          <w:b/>
          <w:color w:val="000000" w:themeColor="text1"/>
          <w:sz w:val="24"/>
          <w:szCs w:val="24"/>
        </w:rPr>
      </w:pPr>
    </w:p>
    <w:p w14:paraId="20C6E0BB" w14:textId="77777777" w:rsidR="007558F7" w:rsidRPr="00063FDC" w:rsidRDefault="007558F7" w:rsidP="007558F7">
      <w:pPr>
        <w:spacing w:line="360" w:lineRule="auto"/>
        <w:jc w:val="center"/>
        <w:rPr>
          <w:color w:val="000000" w:themeColor="text1"/>
          <w:sz w:val="24"/>
          <w:szCs w:val="24"/>
        </w:rPr>
      </w:pPr>
      <m:oMath>
        <m:r>
          <m:rPr>
            <m:sty m:val="p"/>
          </m:rPr>
          <w:rPr>
            <w:rFonts w:ascii="Cambria Math" w:hAnsi="Cambria Math"/>
            <w:color w:val="000000" w:themeColor="text1"/>
            <w:sz w:val="24"/>
            <w:szCs w:val="24"/>
            <w:lang w:val="en-US"/>
          </w:rPr>
          <m:t>PD</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lang w:val="en-US"/>
              </w:rPr>
              <m:t>t</m:t>
            </m:r>
          </m:e>
        </m:d>
        <m:r>
          <m:rPr>
            <m:sty m:val="p"/>
          </m:rPr>
          <w:rPr>
            <w:rFonts w:ascii="Cambria Math" w:hAnsi="Cambria Math"/>
            <w:color w:val="000000" w:themeColor="text1"/>
            <w:sz w:val="24"/>
            <w:szCs w:val="24"/>
            <w:vertAlign w:val="subscript"/>
          </w:rPr>
          <m:t>просроч</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lang w:val="en-US"/>
          </w:rPr>
          <m:t>PD</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lang w:val="en-US"/>
              </w:rPr>
            </m:ctrlPr>
          </m:fPr>
          <m:num>
            <m:r>
              <w:rPr>
                <w:rFonts w:ascii="Cambria Math" w:hAnsi="Cambria Math"/>
                <w:color w:val="000000" w:themeColor="text1"/>
                <w:sz w:val="24"/>
                <w:szCs w:val="24"/>
                <w:lang w:val="en-US"/>
              </w:rPr>
              <m:t>t</m:t>
            </m:r>
          </m:num>
          <m:den>
            <m:r>
              <w:rPr>
                <w:rFonts w:ascii="Cambria Math" w:hAnsi="Cambria Math"/>
                <w:color w:val="000000" w:themeColor="text1"/>
                <w:sz w:val="24"/>
                <w:szCs w:val="24"/>
                <w:lang w:val="en-US"/>
              </w:rPr>
              <m:t>T</m:t>
            </m:r>
            <m:r>
              <w:rPr>
                <w:rFonts w:ascii="Cambria Math" w:hAnsi="Cambria Math"/>
                <w:color w:val="000000" w:themeColor="text1"/>
                <w:sz w:val="24"/>
                <w:szCs w:val="24"/>
              </w:rPr>
              <m:t>+1</m:t>
            </m:r>
          </m:den>
        </m:f>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oMath>
      <w:r w:rsidRPr="00063FDC">
        <w:rPr>
          <w:color w:val="000000" w:themeColor="text1"/>
          <w:sz w:val="24"/>
          <w:szCs w:val="24"/>
        </w:rPr>
        <w:t>,</w:t>
      </w:r>
    </w:p>
    <w:p w14:paraId="08A836C9"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где</w:t>
      </w:r>
    </w:p>
    <w:p w14:paraId="384A701F"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t</w:t>
      </w:r>
      <w:r w:rsidRPr="00063FDC">
        <w:rPr>
          <w:color w:val="000000" w:themeColor="text1"/>
          <w:sz w:val="24"/>
          <w:szCs w:val="24"/>
        </w:rPr>
        <w:t xml:space="preserve"> – срок просрочки,</w:t>
      </w:r>
    </w:p>
    <w:p w14:paraId="1ABC2A75"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PD(t)</w:t>
      </w:r>
      <w:r w:rsidRPr="00063FDC">
        <w:rPr>
          <w:b/>
          <w:color w:val="000000" w:themeColor="text1"/>
          <w:sz w:val="24"/>
          <w:szCs w:val="24"/>
          <w:vertAlign w:val="subscript"/>
        </w:rPr>
        <w:t>просроч</w:t>
      </w:r>
      <w:r w:rsidRPr="00063FDC">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 xml:space="preserve">T </w:t>
      </w:r>
      <w:r w:rsidRPr="00063FDC">
        <w:rPr>
          <w:color w:val="000000" w:themeColor="text1"/>
          <w:sz w:val="24"/>
          <w:szCs w:val="24"/>
        </w:rPr>
        <w:t>– срок для признания данного типа задолженности дефолтной,</w:t>
      </w:r>
    </w:p>
    <w:p w14:paraId="33B41511"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w:t>
      </w:r>
      <w:r w:rsidRPr="00063FDC">
        <w:rPr>
          <w:color w:val="000000" w:themeColor="text1"/>
          <w:sz w:val="24"/>
          <w:szCs w:val="24"/>
        </w:rPr>
        <w:t xml:space="preserve"> определяется:</w:t>
      </w:r>
    </w:p>
    <w:p w14:paraId="1E990A8A"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063FDC">
        <w:rPr>
          <w:color w:val="000000" w:themeColor="text1"/>
          <w:sz w:val="24"/>
          <w:szCs w:val="24"/>
          <w:lang w:val="en-US"/>
        </w:rPr>
        <w:t>PD</w:t>
      </w:r>
      <w:r w:rsidRPr="00063FDC">
        <w:rPr>
          <w:color w:val="000000" w:themeColor="text1"/>
          <w:sz w:val="24"/>
          <w:szCs w:val="24"/>
        </w:rPr>
        <w:t xml:space="preserve"> в соответствии с п.4.1;</w:t>
      </w:r>
    </w:p>
    <w:p w14:paraId="7036100B"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имеются дополнительные признаки обесценения - как годовая </w:t>
      </w:r>
      <w:r w:rsidRPr="00063FDC">
        <w:rPr>
          <w:color w:val="000000" w:themeColor="text1"/>
          <w:sz w:val="24"/>
          <w:szCs w:val="24"/>
          <w:lang w:val="en-US"/>
        </w:rPr>
        <w:t>PD</w:t>
      </w:r>
      <w:r w:rsidRPr="00063FDC">
        <w:rPr>
          <w:color w:val="000000" w:themeColor="text1"/>
          <w:sz w:val="24"/>
          <w:szCs w:val="24"/>
        </w:rPr>
        <w:t>, дополнительно скорректированная в соответствии с п.4.2.1</w:t>
      </w:r>
    </w:p>
    <w:p w14:paraId="651273E0"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w:t>
      </w:r>
      <w:r w:rsidRPr="00063FDC">
        <w:rPr>
          <w:color w:val="000000" w:themeColor="text1"/>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063FDC">
        <w:rPr>
          <w:color w:val="000000" w:themeColor="text1"/>
          <w:sz w:val="24"/>
          <w:szCs w:val="24"/>
          <w:vertAlign w:val="subscript"/>
        </w:rPr>
        <w:t>просроч</w:t>
      </w:r>
      <w:r w:rsidRPr="00063FDC">
        <w:rPr>
          <w:color w:val="000000" w:themeColor="text1"/>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063FDC">
        <w:rPr>
          <w:b/>
          <w:color w:val="000000" w:themeColor="text1"/>
          <w:sz w:val="24"/>
          <w:szCs w:val="24"/>
        </w:rPr>
        <w:t>.</w:t>
      </w:r>
    </w:p>
    <w:p w14:paraId="0FF43836"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каждого денежного потока рассчитывается </w:t>
      </w:r>
      <w:r w:rsidRPr="00063FDC">
        <w:rPr>
          <w:color w:val="000000" w:themeColor="text1"/>
          <w:sz w:val="24"/>
          <w:szCs w:val="24"/>
          <w:lang w:val="en-US"/>
        </w:rPr>
        <w:t>PD</w:t>
      </w:r>
      <w:r w:rsidRPr="00063FDC">
        <w:rPr>
          <w:color w:val="000000" w:themeColor="text1"/>
          <w:sz w:val="24"/>
          <w:szCs w:val="24"/>
        </w:rPr>
        <w:t xml:space="preserve">, исходя из </w:t>
      </w:r>
      <w:r w:rsidRPr="00063FDC">
        <w:rPr>
          <w:color w:val="000000" w:themeColor="text1"/>
          <w:sz w:val="24"/>
          <w:szCs w:val="24"/>
          <w:lang w:val="en-US"/>
        </w:rPr>
        <w:t>PD</w:t>
      </w:r>
      <w:r w:rsidRPr="00063FDC">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63FDC">
        <w:rPr>
          <w:color w:val="000000" w:themeColor="text1"/>
          <w:sz w:val="24"/>
          <w:szCs w:val="24"/>
          <w:vertAlign w:val="superscript"/>
        </w:rPr>
        <w:footnoteReference w:id="20"/>
      </w:r>
      <w:r w:rsidRPr="00063FDC">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В случае, если корректировка </w:t>
      </w:r>
      <w:r w:rsidRPr="00063FDC">
        <w:rPr>
          <w:color w:val="000000" w:themeColor="text1"/>
          <w:sz w:val="24"/>
          <w:szCs w:val="24"/>
          <w:lang w:val="en-US"/>
        </w:rPr>
        <w:t>PD</w:t>
      </w:r>
      <w:r w:rsidRPr="00063FDC">
        <w:rPr>
          <w:color w:val="000000" w:themeColor="text1"/>
          <w:sz w:val="24"/>
          <w:szCs w:val="24"/>
        </w:rPr>
        <w:t xml:space="preserve"> на срок денежного потока не осуществляется, вероятность дефолта для денежного потока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Tn</w:t>
      </w:r>
      <w:r w:rsidRPr="00063FDC">
        <w:rPr>
          <w:color w:val="000000" w:themeColor="text1"/>
          <w:sz w:val="24"/>
          <w:szCs w:val="24"/>
        </w:rPr>
        <w:t>)) принимается равной вероятности дефолта контрагента на горизонте 1 год.</w:t>
      </w:r>
    </w:p>
    <w:p w14:paraId="2FA5BE84"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4. Расчет вероятности дефолта по методу оценки интенсивности.</w:t>
      </w:r>
    </w:p>
    <w:p w14:paraId="5223B8A8" w14:textId="77777777" w:rsidR="007558F7" w:rsidRPr="00063FDC" w:rsidRDefault="00B15290" w:rsidP="007558F7">
      <w:pPr>
        <w:autoSpaceDN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PD</m:t>
            </m:r>
          </m:e>
          <m:sub>
            <m:r>
              <w:rPr>
                <w:rFonts w:ascii="Cambria Math" w:hAnsi="Cambria Math"/>
                <w:color w:val="000000" w:themeColor="text1"/>
                <w:sz w:val="24"/>
                <w:szCs w:val="24"/>
              </w:rPr>
              <m:t>D</m:t>
            </m:r>
          </m:sub>
        </m:sSub>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e>
          <m:sup>
            <m:f>
              <m:fPr>
                <m:ctrlPr>
                  <w:rPr>
                    <w:rFonts w:ascii="Cambria Math" w:hAnsi="Cambria Math"/>
                    <w:i/>
                    <w:color w:val="000000" w:themeColor="text1"/>
                    <w:sz w:val="24"/>
                    <w:szCs w:val="24"/>
                  </w:rPr>
                </m:ctrlPr>
              </m:fPr>
              <m:num>
                <m:r>
                  <w:rPr>
                    <w:rFonts w:ascii="Cambria Math" w:hAnsi="Cambria Math"/>
                    <w:color w:val="000000" w:themeColor="text1"/>
                    <w:sz w:val="24"/>
                    <w:szCs w:val="24"/>
                  </w:rPr>
                  <m:t>D</m:t>
                </m:r>
              </m:num>
              <m:den>
                <m:r>
                  <w:rPr>
                    <w:rFonts w:ascii="Cambria Math" w:hAnsi="Cambria Math"/>
                    <w:color w:val="000000" w:themeColor="text1"/>
                    <w:sz w:val="24"/>
                    <w:szCs w:val="24"/>
                  </w:rPr>
                  <m:t>365</m:t>
                </m:r>
              </m:den>
            </m:f>
          </m:sup>
        </m:sSup>
      </m:oMath>
      <w:r w:rsidR="007558F7" w:rsidRPr="00063FDC">
        <w:rPr>
          <w:color w:val="000000" w:themeColor="text1"/>
          <w:sz w:val="24"/>
          <w:szCs w:val="24"/>
        </w:rPr>
        <w:t>где,</w:t>
      </w:r>
    </w:p>
    <w:p w14:paraId="3F6FE10B"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063FDC">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063FDC">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Значение </w:t>
      </w:r>
      <w:r w:rsidRPr="00063FDC">
        <w:rPr>
          <w:color w:val="000000" w:themeColor="text1"/>
          <w:sz w:val="24"/>
          <w:szCs w:val="24"/>
          <w:lang w:val="en-US"/>
        </w:rPr>
        <w:t>PD</w:t>
      </w:r>
      <w:r w:rsidRPr="00063FDC">
        <w:rPr>
          <w:color w:val="000000" w:themeColor="text1"/>
          <w:sz w:val="24"/>
          <w:szCs w:val="24"/>
          <w:vertAlign w:val="subscript"/>
          <w:lang w:val="en-US"/>
        </w:rPr>
        <w:t>D</w:t>
      </w:r>
      <w:r w:rsidRPr="00063FDC">
        <w:rPr>
          <w:color w:val="000000" w:themeColor="text1"/>
          <w:sz w:val="24"/>
          <w:szCs w:val="24"/>
        </w:rPr>
        <w:t xml:space="preserve"> округляется до 4 знаков после запятой.</w:t>
      </w:r>
    </w:p>
    <w:p w14:paraId="7EECE3D5"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Соответствие шкал рейтинговых агентств.</w:t>
      </w:r>
    </w:p>
    <w:p w14:paraId="60ED6175" w14:textId="77777777" w:rsidR="007558F7" w:rsidRPr="00063FDC" w:rsidRDefault="007558F7" w:rsidP="00C8239C">
      <w:pPr>
        <w:pStyle w:val="a8"/>
        <w:numPr>
          <w:ilvl w:val="2"/>
          <w:numId w:val="35"/>
        </w:numPr>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063FDC" w:rsidRDefault="007558F7" w:rsidP="00C8239C">
      <w:pPr>
        <w:pStyle w:val="a8"/>
        <w:numPr>
          <w:ilvl w:val="1"/>
          <w:numId w:val="35"/>
        </w:numPr>
        <w:suppressAutoHyphens w:val="0"/>
        <w:autoSpaceDN w:val="0"/>
        <w:spacing w:line="360" w:lineRule="auto"/>
        <w:ind w:left="0" w:firstLine="709"/>
        <w:jc w:val="both"/>
        <w:rPr>
          <w:b/>
          <w:color w:val="000000" w:themeColor="text1"/>
          <w:sz w:val="24"/>
          <w:szCs w:val="24"/>
        </w:rPr>
      </w:pPr>
      <w:r w:rsidRPr="00063FDC">
        <w:rPr>
          <w:color w:val="000000" w:themeColor="text1"/>
          <w:sz w:val="24"/>
          <w:szCs w:val="24"/>
        </w:rPr>
        <w:t xml:space="preserve"> </w:t>
      </w:r>
      <w:r w:rsidRPr="00063FDC">
        <w:rPr>
          <w:b/>
          <w:color w:val="000000" w:themeColor="text1"/>
          <w:sz w:val="24"/>
          <w:szCs w:val="24"/>
        </w:rPr>
        <w:t>Порядок использования рейтингов и учета действий рейтинговых агентств.</w:t>
      </w:r>
    </w:p>
    <w:p w14:paraId="767F1EC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 xml:space="preserve"> Для активов контрагента, находящегося в состоянии дефолта, </w:t>
      </w:r>
      <w:r w:rsidRPr="00063FDC">
        <w:rPr>
          <w:b/>
          <w:color w:val="000000" w:themeColor="text1"/>
          <w:sz w:val="24"/>
          <w:szCs w:val="24"/>
          <w:lang w:val="en-US"/>
        </w:rPr>
        <w:t>PD</w:t>
      </w:r>
      <w:r w:rsidRPr="00063FDC">
        <w:rPr>
          <w:b/>
          <w:color w:val="000000" w:themeColor="text1"/>
          <w:sz w:val="24"/>
          <w:szCs w:val="24"/>
        </w:rPr>
        <w:t xml:space="preserve"> устанавливается равной 1.</w:t>
      </w:r>
    </w:p>
    <w:p w14:paraId="506CFCA7"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color w:val="000000" w:themeColor="text1"/>
          <w:sz w:val="24"/>
          <w:szCs w:val="24"/>
        </w:rPr>
      </w:pPr>
      <w:r w:rsidRPr="00063FDC">
        <w:rPr>
          <w:b/>
          <w:color w:val="000000" w:themeColor="text1"/>
          <w:sz w:val="24"/>
          <w:szCs w:val="24"/>
        </w:rPr>
        <w:t xml:space="preserve"> Для задолженности, обеспеченной поручительством, гарантией, опционным соглашением</w:t>
      </w:r>
      <w:r w:rsidRPr="00063FDC">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 больше. В обратном случае используется </w:t>
      </w:r>
      <w:r w:rsidRPr="00063FDC">
        <w:rPr>
          <w:color w:val="000000" w:themeColor="text1"/>
          <w:sz w:val="24"/>
          <w:szCs w:val="24"/>
          <w:lang w:val="en-US"/>
        </w:rPr>
        <w:t>PD</w:t>
      </w:r>
      <w:r w:rsidRPr="00063FDC">
        <w:rPr>
          <w:color w:val="000000" w:themeColor="text1"/>
          <w:sz w:val="24"/>
          <w:szCs w:val="24"/>
        </w:rPr>
        <w:t xml:space="preserve"> контрагента.</w:t>
      </w:r>
    </w:p>
    <w:p w14:paraId="00256F0F" w14:textId="77777777" w:rsidR="007558F7" w:rsidRPr="00063FDC" w:rsidRDefault="007558F7" w:rsidP="007558F7">
      <w:pPr>
        <w:tabs>
          <w:tab w:val="left" w:pos="1276"/>
          <w:tab w:val="left" w:pos="1418"/>
        </w:tabs>
        <w:suppressAutoHyphens w:val="0"/>
        <w:autoSpaceDN w:val="0"/>
        <w:spacing w:line="360" w:lineRule="auto"/>
        <w:jc w:val="both"/>
        <w:rPr>
          <w:color w:val="000000" w:themeColor="text1"/>
          <w:sz w:val="24"/>
          <w:szCs w:val="24"/>
        </w:rPr>
      </w:pPr>
      <w:r w:rsidRPr="00063FDC">
        <w:rPr>
          <w:color w:val="000000" w:themeColor="text1"/>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063FDC" w:rsidRDefault="007558F7" w:rsidP="007558F7">
      <w:pPr>
        <w:pStyle w:val="a8"/>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страховкой используются PD должника по договору (активу). </w:t>
      </w:r>
    </w:p>
    <w:p w14:paraId="38AAC93B" w14:textId="77777777" w:rsidR="007558F7" w:rsidRPr="00063FDC" w:rsidRDefault="007558F7" w:rsidP="007558F7">
      <w:pPr>
        <w:pStyle w:val="a8"/>
        <w:autoSpaceDN w:val="0"/>
        <w:spacing w:line="360" w:lineRule="auto"/>
        <w:ind w:left="709"/>
        <w:jc w:val="both"/>
        <w:rPr>
          <w:color w:val="000000" w:themeColor="text1"/>
          <w:sz w:val="24"/>
          <w:szCs w:val="24"/>
        </w:rPr>
      </w:pPr>
    </w:p>
    <w:p w14:paraId="0AF69F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5.  Расчет LGD</w:t>
      </w:r>
    </w:p>
    <w:p w14:paraId="324EB48C" w14:textId="77777777" w:rsidR="007558F7" w:rsidRPr="00063FDC" w:rsidRDefault="007558F7" w:rsidP="00C8239C">
      <w:pPr>
        <w:pStyle w:val="a0"/>
        <w:numPr>
          <w:ilvl w:val="0"/>
          <w:numId w:val="35"/>
        </w:numPr>
        <w:spacing w:before="0" w:after="0" w:line="360" w:lineRule="auto"/>
        <w:ind w:left="0" w:firstLine="709"/>
        <w:jc w:val="both"/>
        <w:rPr>
          <w:color w:val="000000" w:themeColor="text1"/>
          <w:szCs w:val="24"/>
        </w:rPr>
      </w:pPr>
    </w:p>
    <w:p w14:paraId="10712F30" w14:textId="77777777" w:rsidR="007558F7" w:rsidRPr="00063FDC" w:rsidRDefault="007558F7" w:rsidP="00C8239C">
      <w:pPr>
        <w:pStyle w:val="a8"/>
        <w:numPr>
          <w:ilvl w:val="1"/>
          <w:numId w:val="35"/>
        </w:numPr>
        <w:tabs>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LGD при использовании рейтингов международных рейтинговых агентств</w:t>
      </w:r>
      <w:r w:rsidRPr="00063FDC">
        <w:rPr>
          <w:color w:val="000000" w:themeColor="text1"/>
          <w:sz w:val="24"/>
          <w:szCs w:val="24"/>
        </w:rPr>
        <w:t xml:space="preserve"> (в том числе при переходе к рейтингам через котировки облигаций) и использовании Moody’s speculative grade</w:t>
      </w:r>
      <w:r w:rsidRPr="00063FDC">
        <w:rPr>
          <w:rStyle w:val="afa"/>
          <w:color w:val="000000" w:themeColor="text1"/>
          <w:sz w:val="24"/>
          <w:szCs w:val="24"/>
        </w:rPr>
        <w:footnoteReference w:id="21"/>
      </w:r>
      <w:r w:rsidRPr="00063FDC">
        <w:rPr>
          <w:color w:val="000000" w:themeColor="text1"/>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w:t>
      </w:r>
    </w:p>
    <w:p w14:paraId="612BED1F" w14:textId="77777777" w:rsidR="007558F7" w:rsidRPr="00063FDC" w:rsidRDefault="007558F7" w:rsidP="007558F7">
      <w:pPr>
        <w:pStyle w:val="a8"/>
        <w:tabs>
          <w:tab w:val="left" w:pos="1276"/>
        </w:tabs>
        <w:spacing w:line="360" w:lineRule="auto"/>
        <w:ind w:left="0" w:firstLine="709"/>
        <w:rPr>
          <w:color w:val="000000" w:themeColor="text1"/>
          <w:sz w:val="24"/>
          <w:szCs w:val="24"/>
        </w:rPr>
      </w:pPr>
      <w:r w:rsidRPr="00063FDC">
        <w:rPr>
          <w:color w:val="000000" w:themeColor="text1"/>
          <w:sz w:val="24"/>
          <w:szCs w:val="24"/>
        </w:rPr>
        <w:t xml:space="preserve">В случае дефолта контрагента данный порядок применяется только в случае невозможности определения </w:t>
      </w:r>
      <w:r w:rsidRPr="00063FDC">
        <w:rPr>
          <w:color w:val="000000" w:themeColor="text1"/>
          <w:sz w:val="24"/>
          <w:szCs w:val="24"/>
          <w:lang w:val="en-US"/>
        </w:rPr>
        <w:t>LGD</w:t>
      </w:r>
      <w:r w:rsidRPr="00063FDC">
        <w:rPr>
          <w:color w:val="000000" w:themeColor="text1"/>
          <w:sz w:val="24"/>
          <w:szCs w:val="24"/>
        </w:rPr>
        <w:t xml:space="preserve"> в соответствии с п. 5.13.</w:t>
      </w:r>
    </w:p>
    <w:p w14:paraId="6D34B04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LGD для физических лиц и МСБ при отсутствии обеспечения принимается равным 100%.</w:t>
      </w:r>
    </w:p>
    <w:p w14:paraId="195C655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063FDC" w:rsidDel="000478CE">
        <w:rPr>
          <w:color w:val="000000" w:themeColor="text1"/>
          <w:sz w:val="24"/>
          <w:szCs w:val="24"/>
        </w:rPr>
        <w:t xml:space="preserve"> </w:t>
      </w:r>
      <w:r w:rsidRPr="00063FDC">
        <w:rPr>
          <w:color w:val="000000" w:themeColor="text1"/>
          <w:sz w:val="24"/>
          <w:szCs w:val="24"/>
        </w:rPr>
        <w:t>(см. п. 4.8.).</w:t>
      </w:r>
    </w:p>
    <w:p w14:paraId="4DC2957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ином случае, используется дисконтированная сумма страховки. Порядок определения дисконта (</w:t>
      </w:r>
      <w:r w:rsidRPr="00063FDC">
        <w:rPr>
          <w:color w:val="000000" w:themeColor="text1"/>
          <w:sz w:val="24"/>
          <w:szCs w:val="24"/>
          <w:lang w:val="en-US"/>
        </w:rPr>
        <w:t>discount</w:t>
      </w:r>
      <w:r w:rsidRPr="00063FDC">
        <w:rPr>
          <w:color w:val="000000" w:themeColor="text1"/>
          <w:sz w:val="24"/>
          <w:szCs w:val="24"/>
        </w:rPr>
        <w:t>), ставки дисконтирования (R) и срока (T</w:t>
      </w:r>
      <w:r w:rsidRPr="00063FDC">
        <w:rPr>
          <w:color w:val="000000" w:themeColor="text1"/>
          <w:sz w:val="24"/>
          <w:szCs w:val="24"/>
          <w:vertAlign w:val="subscript"/>
          <w:lang w:val="en-US"/>
        </w:rPr>
        <w:t>ex</w:t>
      </w:r>
      <w:r w:rsidRPr="00063FDC">
        <w:rPr>
          <w:color w:val="000000" w:themeColor="text1"/>
          <w:sz w:val="24"/>
          <w:szCs w:val="24"/>
        </w:rPr>
        <w:t>) указан в описании формулы 5.</w:t>
      </w:r>
    </w:p>
    <w:p w14:paraId="6EBE980E" w14:textId="77777777" w:rsidR="007558F7" w:rsidRPr="00063FDC" w:rsidRDefault="007558F7" w:rsidP="00C8239C">
      <w:pPr>
        <w:pStyle w:val="a8"/>
        <w:numPr>
          <w:ilvl w:val="1"/>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063FDC" w:rsidRDefault="007558F7" w:rsidP="007558F7">
      <w:pPr>
        <w:autoSpaceDN w:val="0"/>
        <w:spacing w:line="360" w:lineRule="auto"/>
        <w:ind w:firstLine="709"/>
        <w:jc w:val="both"/>
        <w:rPr>
          <w:b/>
          <w:color w:val="000000" w:themeColor="text1"/>
          <w:sz w:val="24"/>
          <w:szCs w:val="24"/>
        </w:rPr>
      </w:pPr>
    </w:p>
    <w:p w14:paraId="3E5E1EAF"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5.</w:t>
      </w:r>
    </w:p>
    <w:p w14:paraId="3BCBED80" w14:textId="77777777" w:rsidR="007558F7" w:rsidRPr="00063FDC" w:rsidRDefault="007558F7" w:rsidP="007558F7">
      <w:pPr>
        <w:pStyle w:val="a8"/>
        <w:spacing w:line="360" w:lineRule="auto"/>
        <w:ind w:left="0" w:firstLine="709"/>
        <w:jc w:val="center"/>
        <w:rPr>
          <w:color w:val="000000" w:themeColor="text1"/>
          <w:sz w:val="24"/>
          <w:szCs w:val="24"/>
        </w:rPr>
      </w:pPr>
      <m:oMath>
        <m:r>
          <w:rPr>
            <w:rFonts w:ascii="Cambria Math" w:hAnsi="Cambria Math"/>
            <w:color w:val="000000" w:themeColor="text1"/>
            <w:sz w:val="24"/>
            <w:szCs w:val="24"/>
          </w:rPr>
          <m:t>PV=</m:t>
        </m:r>
        <m:nary>
          <m:naryPr>
            <m:chr m:val="∑"/>
            <m:limLoc m:val="undOvr"/>
            <m:subHide m:val="1"/>
            <m:supHide m:val="1"/>
            <m:ctrlPr>
              <w:rPr>
                <w:rFonts w:ascii="Cambria Math" w:hAnsi="Cambria Math"/>
                <w:iCs/>
                <w:color w:val="000000" w:themeColor="text1"/>
                <w:sz w:val="24"/>
                <w:szCs w:val="24"/>
              </w:rPr>
            </m:ctrlPr>
          </m:naryPr>
          <m:sub/>
          <m:sup/>
          <m:e>
            <m:f>
              <m:fPr>
                <m:ctrlPr>
                  <w:rPr>
                    <w:rFonts w:ascii="Cambria Math" w:hAnsi="Cambria Math"/>
                    <w:iCs/>
                    <w:color w:val="000000" w:themeColor="text1"/>
                    <w:sz w:val="24"/>
                    <w:szCs w:val="24"/>
                  </w:rPr>
                </m:ctrlPr>
              </m:fPr>
              <m:num>
                <m:r>
                  <m:rPr>
                    <m:sty m:val="p"/>
                  </m:rPr>
                  <w:rPr>
                    <w:rFonts w:ascii="Cambria Math" w:hAnsi="Cambria Math"/>
                    <w:color w:val="000000" w:themeColor="text1"/>
                    <w:sz w:val="24"/>
                    <w:szCs w:val="24"/>
                    <w:lang w:val="en-US"/>
                  </w:rPr>
                  <m:t>P</m:t>
                </m:r>
              </m:num>
              <m:den>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R</m:t>
                    </m:r>
                    <m:r>
                      <m:rPr>
                        <m:sty m:val="p"/>
                      </m:rPr>
                      <w:rPr>
                        <w:rFonts w:ascii="Cambria Math" w:hAnsi="Cambria Math"/>
                        <w:color w:val="000000" w:themeColor="text1"/>
                        <w:sz w:val="24"/>
                        <w:szCs w:val="24"/>
                      </w:rPr>
                      <m:t>)</m:t>
                    </m:r>
                  </m:e>
                  <m:sup>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en-US"/>
                          </w:rPr>
                          <m:t>T</m:t>
                        </m:r>
                      </m:e>
                      <m:sub>
                        <m:r>
                          <m:rPr>
                            <m:sty m:val="p"/>
                          </m:rPr>
                          <w:rPr>
                            <w:rFonts w:ascii="Cambria Math" w:hAnsi="Cambria Math"/>
                            <w:color w:val="000000" w:themeColor="text1"/>
                            <w:sz w:val="24"/>
                            <w:szCs w:val="24"/>
                            <w:lang w:val="en-US"/>
                          </w:rPr>
                          <m:t>ex</m:t>
                        </m:r>
                      </m:sub>
                    </m:sSub>
                    <m:r>
                      <m:rPr>
                        <m:sty m:val="p"/>
                      </m:rPr>
                      <w:rPr>
                        <w:rFonts w:ascii="Cambria Math" w:hAnsi="Cambria Math"/>
                        <w:color w:val="000000" w:themeColor="text1"/>
                        <w:sz w:val="24"/>
                        <w:szCs w:val="24"/>
                      </w:rPr>
                      <m:t>/365</m:t>
                    </m:r>
                  </m:sup>
                </m:sSup>
              </m:den>
            </m:f>
          </m:e>
        </m:nary>
        <m: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discount</m:t>
        </m:r>
        <m:r>
          <m:rPr>
            <m:sty m:val="p"/>
          </m:rPr>
          <w:rPr>
            <w:rFonts w:ascii="Cambria Math" w:hAnsi="Cambria Math"/>
            <w:color w:val="000000" w:themeColor="text1"/>
            <w:sz w:val="24"/>
            <w:szCs w:val="24"/>
          </w:rPr>
          <m:t>)</m:t>
        </m:r>
      </m:oMath>
      <w:r w:rsidRPr="00063FDC">
        <w:rPr>
          <w:color w:val="000000" w:themeColor="text1"/>
          <w:sz w:val="24"/>
          <w:szCs w:val="24"/>
        </w:rPr>
        <w:t>,</w:t>
      </w:r>
    </w:p>
    <w:p w14:paraId="19631DBF" w14:textId="77777777" w:rsidR="007558F7" w:rsidRPr="00063FDC" w:rsidRDefault="007558F7" w:rsidP="007558F7">
      <w:pPr>
        <w:pStyle w:val="a8"/>
        <w:spacing w:line="360" w:lineRule="auto"/>
        <w:ind w:left="0"/>
        <w:rPr>
          <w:color w:val="000000" w:themeColor="text1"/>
          <w:sz w:val="24"/>
          <w:szCs w:val="24"/>
        </w:rPr>
      </w:pPr>
      <w:r w:rsidRPr="00063FDC">
        <w:rPr>
          <w:color w:val="000000" w:themeColor="text1"/>
          <w:sz w:val="24"/>
          <w:szCs w:val="24"/>
        </w:rPr>
        <w:t>где</w:t>
      </w:r>
    </w:p>
    <w:p w14:paraId="0A78DE7D" w14:textId="77777777" w:rsidR="007558F7" w:rsidRPr="00063FDC" w:rsidRDefault="007558F7" w:rsidP="007558F7">
      <w:pPr>
        <w:pStyle w:val="a8"/>
        <w:spacing w:line="360" w:lineRule="auto"/>
        <w:ind w:left="0"/>
        <w:rPr>
          <w:color w:val="000000" w:themeColor="text1"/>
          <w:sz w:val="24"/>
          <w:szCs w:val="24"/>
        </w:rPr>
      </w:pPr>
      <w:r w:rsidRPr="00063FDC">
        <w:rPr>
          <w:b/>
          <w:color w:val="000000" w:themeColor="text1"/>
          <w:sz w:val="24"/>
          <w:szCs w:val="24"/>
          <w:lang w:val="en-US"/>
        </w:rPr>
        <w:t>PV</w:t>
      </w:r>
      <w:r w:rsidRPr="00063FDC">
        <w:rPr>
          <w:color w:val="000000" w:themeColor="text1"/>
          <w:sz w:val="24"/>
          <w:szCs w:val="24"/>
        </w:rPr>
        <w:t xml:space="preserve"> – дисконтированная справедливая стоимость обеспечения / страховки;</w:t>
      </w:r>
    </w:p>
    <w:p w14:paraId="59FC1A6E"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P</w:t>
      </w:r>
      <w:r w:rsidRPr="00063FDC">
        <w:rPr>
          <w:color w:val="000000" w:themeColor="text1"/>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T</w:t>
      </w:r>
      <w:r w:rsidRPr="00063FDC">
        <w:rPr>
          <w:b/>
          <w:color w:val="000000" w:themeColor="text1"/>
          <w:sz w:val="24"/>
          <w:szCs w:val="24"/>
          <w:vertAlign w:val="subscript"/>
          <w:lang w:val="en-US"/>
        </w:rPr>
        <w:t>ex</w:t>
      </w:r>
      <w:r w:rsidRPr="00063FDC">
        <w:rPr>
          <w:b/>
          <w:color w:val="000000" w:themeColor="text1"/>
          <w:sz w:val="24"/>
          <w:szCs w:val="24"/>
        </w:rPr>
        <w:t xml:space="preserve"> </w:t>
      </w:r>
      <w:r w:rsidRPr="00063FDC">
        <w:rPr>
          <w:color w:val="000000" w:themeColor="text1"/>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063FDC" w:rsidRDefault="007558F7" w:rsidP="00C8239C">
      <w:pPr>
        <w:pStyle w:val="a8"/>
        <w:numPr>
          <w:ilvl w:val="0"/>
          <w:numId w:val="41"/>
        </w:numPr>
        <w:spacing w:line="360" w:lineRule="auto"/>
        <w:ind w:left="0" w:firstLine="709"/>
        <w:jc w:val="both"/>
        <w:rPr>
          <w:color w:val="000000" w:themeColor="text1"/>
          <w:sz w:val="24"/>
          <w:szCs w:val="24"/>
        </w:rPr>
      </w:pPr>
      <w:r w:rsidRPr="00063FDC">
        <w:rPr>
          <w:color w:val="000000" w:themeColor="text1"/>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063FDC" w:rsidRDefault="007558F7" w:rsidP="00C8239C">
      <w:pPr>
        <w:pStyle w:val="a8"/>
        <w:numPr>
          <w:ilvl w:val="0"/>
          <w:numId w:val="41"/>
        </w:numPr>
        <w:tabs>
          <w:tab w:val="left" w:pos="0"/>
        </w:tabs>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w:t>
      </w:r>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r w:rsidRPr="00063FDC">
        <w:rPr>
          <w:color w:val="000000" w:themeColor="text1"/>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063FDC" w:rsidRDefault="007558F7" w:rsidP="00C8239C">
      <w:pPr>
        <w:pStyle w:val="a8"/>
        <w:numPr>
          <w:ilvl w:val="0"/>
          <w:numId w:val="41"/>
        </w:numPr>
        <w:tabs>
          <w:tab w:val="left" w:pos="993"/>
        </w:tabs>
        <w:spacing w:line="360" w:lineRule="auto"/>
        <w:ind w:left="0" w:firstLine="709"/>
        <w:rPr>
          <w:color w:val="000000" w:themeColor="text1"/>
          <w:sz w:val="24"/>
          <w:szCs w:val="24"/>
        </w:rPr>
      </w:pPr>
      <w:r w:rsidRPr="00063FDC">
        <w:rPr>
          <w:color w:val="000000" w:themeColor="text1"/>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063FDC" w:rsidRDefault="007558F7" w:rsidP="007558F7">
      <w:pPr>
        <w:pStyle w:val="a8"/>
        <w:spacing w:line="360" w:lineRule="auto"/>
        <w:ind w:left="0"/>
        <w:jc w:val="both"/>
        <w:rPr>
          <w:rFonts w:eastAsia="Batang"/>
          <w:color w:val="000000" w:themeColor="text1"/>
          <w:sz w:val="24"/>
          <w:szCs w:val="24"/>
        </w:rPr>
      </w:pPr>
      <w:r w:rsidRPr="00063FDC">
        <w:rPr>
          <w:rFonts w:eastAsia="Batang"/>
          <w:b/>
          <w:color w:val="000000" w:themeColor="text1"/>
          <w:sz w:val="24"/>
          <w:szCs w:val="24"/>
          <w:lang w:val="en-US"/>
        </w:rPr>
        <w:t>R</w:t>
      </w:r>
      <w:r w:rsidRPr="00063FDC">
        <w:rPr>
          <w:rFonts w:eastAsia="Batang"/>
          <w:color w:val="000000" w:themeColor="text1"/>
          <w:sz w:val="24"/>
          <w:szCs w:val="24"/>
        </w:rPr>
        <w:t xml:space="preserve"> – безрисковая ставка на сроке </w:t>
      </w:r>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r w:rsidRPr="00063FDC">
        <w:rPr>
          <w:rFonts w:eastAsia="Batang"/>
          <w:color w:val="000000" w:themeColor="text1"/>
          <w:sz w:val="24"/>
          <w:szCs w:val="24"/>
        </w:rPr>
        <w:t>.</w:t>
      </w:r>
    </w:p>
    <w:p w14:paraId="74E4E19F" w14:textId="77777777" w:rsidR="007558F7" w:rsidRPr="00063FDC" w:rsidRDefault="007558F7" w:rsidP="007558F7">
      <w:pPr>
        <w:pStyle w:val="a8"/>
        <w:tabs>
          <w:tab w:val="left" w:pos="993"/>
        </w:tabs>
        <w:spacing w:line="360" w:lineRule="auto"/>
        <w:ind w:left="0" w:firstLine="709"/>
        <w:rPr>
          <w:color w:val="000000" w:themeColor="text1"/>
          <w:sz w:val="24"/>
          <w:szCs w:val="24"/>
        </w:rPr>
      </w:pPr>
    </w:p>
    <w:p w14:paraId="0BB08DBF" w14:textId="77777777" w:rsidR="007558F7" w:rsidRPr="00063FDC" w:rsidRDefault="007558F7" w:rsidP="007558F7">
      <w:pPr>
        <w:pStyle w:val="a8"/>
        <w:tabs>
          <w:tab w:val="left" w:pos="993"/>
        </w:tabs>
        <w:spacing w:line="360" w:lineRule="auto"/>
        <w:ind w:left="0"/>
        <w:rPr>
          <w:color w:val="000000" w:themeColor="text1"/>
          <w:sz w:val="24"/>
          <w:szCs w:val="24"/>
        </w:rPr>
      </w:pPr>
      <w:r w:rsidRPr="00063FDC">
        <w:rPr>
          <w:b/>
          <w:color w:val="000000" w:themeColor="text1"/>
          <w:sz w:val="24"/>
          <w:szCs w:val="24"/>
          <w:lang w:val="en-US"/>
        </w:rPr>
        <w:t>discount</w:t>
      </w:r>
      <w:r w:rsidRPr="00063FDC">
        <w:rPr>
          <w:color w:val="000000" w:themeColor="text1"/>
          <w:sz w:val="24"/>
          <w:szCs w:val="24"/>
        </w:rPr>
        <w:t xml:space="preserve"> – дисконт, определяемый в следующем порядке:</w:t>
      </w:r>
    </w:p>
    <w:p w14:paraId="0F3A8AF7" w14:textId="77777777" w:rsidR="007558F7" w:rsidRPr="00063FDC" w:rsidRDefault="007558F7" w:rsidP="007558F7">
      <w:pPr>
        <w:pStyle w:val="a8"/>
        <w:tabs>
          <w:tab w:val="left" w:pos="993"/>
        </w:tabs>
        <w:spacing w:line="360" w:lineRule="auto"/>
        <w:ind w:left="0" w:firstLine="709"/>
        <w:rPr>
          <w:color w:val="000000" w:themeColor="text1"/>
          <w:sz w:val="24"/>
          <w:szCs w:val="24"/>
        </w:rPr>
      </w:pPr>
      <w:r w:rsidRPr="00063FDC">
        <w:rPr>
          <w:color w:val="000000" w:themeColor="text1"/>
          <w:sz w:val="24"/>
          <w:szCs w:val="24"/>
        </w:rPr>
        <w:t xml:space="preserve">В отношении задолженности, обеспеченной торгуемыми ценными бумагами: </w:t>
      </w:r>
    </w:p>
    <w:p w14:paraId="53F1F082"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ценных бумаг, используемых для обеспечения по сделкам РЕПО на Московской бирже – соответствующий дисконт для сделок РЕПО</w:t>
      </w:r>
      <w:r w:rsidRPr="00063FDC">
        <w:rPr>
          <w:rStyle w:val="afa"/>
          <w:color w:val="000000" w:themeColor="text1"/>
          <w:sz w:val="24"/>
          <w:szCs w:val="24"/>
        </w:rPr>
        <w:footnoteReference w:id="22"/>
      </w:r>
      <w:r w:rsidRPr="00063FDC">
        <w:rPr>
          <w:color w:val="000000" w:themeColor="text1"/>
          <w:sz w:val="24"/>
          <w:szCs w:val="24"/>
        </w:rPr>
        <w:t>;</w:t>
      </w:r>
    </w:p>
    <w:p w14:paraId="03A48FB6"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акций иностранных эмитентов, торгуемых на организованных рынках стран ОЭСР:</w:t>
      </w:r>
    </w:p>
    <w:p w14:paraId="5B29DC7B"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p>
    <w:p w14:paraId="5649E25C"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r w:rsidRPr="00063FDC">
        <w:rPr>
          <w:color w:val="000000" w:themeColor="text1"/>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063FDC">
        <w:rPr>
          <w:color w:val="000000" w:themeColor="text1"/>
          <w:sz w:val="24"/>
          <w:szCs w:val="24"/>
          <w:lang w:val="en-US"/>
        </w:rPr>
        <w:t>PD</w:t>
      </w:r>
      <w:r w:rsidRPr="00063FDC">
        <w:rPr>
          <w:color w:val="000000" w:themeColor="text1"/>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063FDC">
        <w:rPr>
          <w:color w:val="000000" w:themeColor="text1"/>
          <w:sz w:val="24"/>
          <w:szCs w:val="24"/>
          <w:lang w:val="en-US"/>
        </w:rPr>
        <w:t>PD</w:t>
      </w:r>
      <w:r w:rsidRPr="00063FDC">
        <w:rPr>
          <w:color w:val="000000" w:themeColor="text1"/>
          <w:sz w:val="24"/>
          <w:szCs w:val="24"/>
        </w:rPr>
        <w:t xml:space="preserve"> для рейтинга </w:t>
      </w:r>
      <w:r w:rsidRPr="00063FDC">
        <w:rPr>
          <w:color w:val="000000" w:themeColor="text1"/>
          <w:sz w:val="24"/>
          <w:szCs w:val="24"/>
          <w:lang w:val="en-US"/>
        </w:rPr>
        <w:t>Caa</w:t>
      </w:r>
      <w:r w:rsidRPr="00063FDC">
        <w:rPr>
          <w:color w:val="000000" w:themeColor="text1"/>
          <w:sz w:val="24"/>
          <w:szCs w:val="24"/>
        </w:rPr>
        <w:t xml:space="preserve"> осуществляется в соответствии с порядком, установленным в Разделе 4.</w:t>
      </w:r>
    </w:p>
    <w:p w14:paraId="69E8A9A3" w14:textId="77777777" w:rsidR="007558F7" w:rsidRPr="00063FDC" w:rsidRDefault="007558F7" w:rsidP="00C8239C">
      <w:pPr>
        <w:pStyle w:val="a8"/>
        <w:numPr>
          <w:ilvl w:val="1"/>
          <w:numId w:val="35"/>
        </w:numPr>
        <w:tabs>
          <w:tab w:val="left" w:pos="993"/>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063FDC" w:rsidRDefault="007558F7" w:rsidP="00C8239C">
      <w:pPr>
        <w:pStyle w:val="a8"/>
        <w:numPr>
          <w:ilvl w:val="1"/>
          <w:numId w:val="35"/>
        </w:numPr>
        <w:tabs>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жилой недвижимости </w:t>
      </w:r>
      <w:r w:rsidRPr="00063FDC">
        <w:rPr>
          <w:color w:val="000000" w:themeColor="text1"/>
          <w:sz w:val="24"/>
          <w:szCs w:val="24"/>
          <w:lang w:val="en-US"/>
        </w:rPr>
        <w:t>LGD</w:t>
      </w:r>
      <w:r w:rsidRPr="00063FDC">
        <w:rPr>
          <w:color w:val="000000" w:themeColor="text1"/>
          <w:sz w:val="24"/>
          <w:szCs w:val="24"/>
        </w:rPr>
        <w:t xml:space="preserve"> может приниматься в размере не менее чем 15% от текущей стоимости обеспечения. </w:t>
      </w:r>
    </w:p>
    <w:p w14:paraId="5F94D942"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нежилой и коммерческой жилой</w:t>
      </w:r>
      <w:r w:rsidRPr="00063FDC">
        <w:rPr>
          <w:rStyle w:val="afa"/>
          <w:color w:val="000000" w:themeColor="text1"/>
          <w:sz w:val="24"/>
          <w:szCs w:val="24"/>
        </w:rPr>
        <w:footnoteReference w:id="23"/>
      </w:r>
      <w:r w:rsidRPr="00063FDC">
        <w:rPr>
          <w:color w:val="000000" w:themeColor="text1"/>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Определение </w:t>
      </w:r>
      <w:r w:rsidRPr="00063FDC">
        <w:rPr>
          <w:color w:val="000000" w:themeColor="text1"/>
          <w:sz w:val="24"/>
          <w:szCs w:val="24"/>
          <w:lang w:val="en-US"/>
        </w:rPr>
        <w:t>LGD</w:t>
      </w:r>
      <w:r w:rsidRPr="00063FDC">
        <w:rPr>
          <w:color w:val="000000" w:themeColor="text1"/>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063FDC" w:rsidRDefault="007558F7" w:rsidP="00C8239C">
      <w:pPr>
        <w:pStyle w:val="a8"/>
        <w:numPr>
          <w:ilvl w:val="2"/>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063FDC">
        <w:rPr>
          <w:color w:val="000000" w:themeColor="text1"/>
          <w:sz w:val="24"/>
          <w:szCs w:val="24"/>
          <w:lang w:val="en-US"/>
        </w:rPr>
        <w:t>LGD</w:t>
      </w:r>
      <w:r w:rsidRPr="00063FDC">
        <w:rPr>
          <w:color w:val="000000" w:themeColor="text1"/>
          <w:sz w:val="24"/>
          <w:szCs w:val="24"/>
        </w:rPr>
        <w:t xml:space="preserve"> используются (при наличии) котировки публичного долга.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может быть использовано как оценка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w:t>
      </w:r>
    </w:p>
    <w:p w14:paraId="1B7A6AFA" w14:textId="77777777" w:rsidR="007558F7" w:rsidRPr="00063FDC" w:rsidRDefault="007558F7" w:rsidP="00C8239C">
      <w:pPr>
        <w:pStyle w:val="a8"/>
        <w:numPr>
          <w:ilvl w:val="2"/>
          <w:numId w:val="35"/>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наличия котировок публичного долга контрагента, находящегося в дефолте,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долгового обязательства может считаться оценкой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для контрагента, </w:t>
      </w:r>
      <w:r w:rsidRPr="00063FDC">
        <w:rPr>
          <w:color w:val="000000" w:themeColor="text1"/>
          <w:sz w:val="24"/>
          <w:szCs w:val="24"/>
          <w:lang w:val="en-US"/>
        </w:rPr>
        <w:t>LGD</w:t>
      </w:r>
      <w:r w:rsidRPr="00063FDC">
        <w:rPr>
          <w:color w:val="000000" w:themeColor="text1"/>
          <w:sz w:val="24"/>
          <w:szCs w:val="24"/>
        </w:rPr>
        <w:t xml:space="preserve"> в этом случае будет равен 1 –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целей п.5.13. используется цена закрытия + НКД, по данным следующих источников:</w:t>
      </w:r>
    </w:p>
    <w:p w14:paraId="782BEE6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063FDC">
        <w:rPr>
          <w:color w:val="000000" w:themeColor="text1"/>
          <w:sz w:val="24"/>
          <w:szCs w:val="24"/>
          <w:lang w:val="en-US"/>
        </w:rPr>
        <w:t>BGN</w:t>
      </w:r>
      <w:r w:rsidRPr="00063FDC">
        <w:rPr>
          <w:color w:val="000000" w:themeColor="text1"/>
          <w:sz w:val="24"/>
          <w:szCs w:val="24"/>
        </w:rPr>
        <w:t>/</w:t>
      </w:r>
      <w:r w:rsidRPr="00063FDC">
        <w:rPr>
          <w:color w:val="000000" w:themeColor="text1"/>
          <w:sz w:val="24"/>
          <w:szCs w:val="24"/>
          <w:lang w:val="en-US"/>
        </w:rPr>
        <w:t>BVAL</w:t>
      </w:r>
      <w:r w:rsidRPr="00063FDC">
        <w:rPr>
          <w:color w:val="000000" w:themeColor="text1"/>
          <w:sz w:val="24"/>
          <w:szCs w:val="24"/>
        </w:rPr>
        <w:t>) – котировка и НКД по данным Московской биржи;</w:t>
      </w:r>
    </w:p>
    <w:p w14:paraId="48670A24"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иных облигаций – цена </w:t>
      </w:r>
      <w:r w:rsidRPr="00063FDC">
        <w:rPr>
          <w:color w:val="000000" w:themeColor="text1"/>
          <w:sz w:val="24"/>
          <w:szCs w:val="24"/>
          <w:lang w:val="en-US"/>
        </w:rPr>
        <w:t>BGN</w:t>
      </w:r>
      <w:r w:rsidRPr="00063FDC">
        <w:rPr>
          <w:color w:val="000000" w:themeColor="text1"/>
          <w:sz w:val="24"/>
          <w:szCs w:val="24"/>
        </w:rPr>
        <w:t xml:space="preserve"> (цена </w:t>
      </w:r>
      <w:r w:rsidRPr="00063FDC">
        <w:rPr>
          <w:color w:val="000000" w:themeColor="text1"/>
          <w:sz w:val="24"/>
          <w:szCs w:val="24"/>
          <w:lang w:val="en-US"/>
        </w:rPr>
        <w:t>BVAL</w:t>
      </w:r>
      <w:r w:rsidRPr="00063FDC">
        <w:rPr>
          <w:color w:val="000000" w:themeColor="text1"/>
          <w:sz w:val="24"/>
          <w:szCs w:val="24"/>
        </w:rPr>
        <w:t xml:space="preserve"> при отсутствии цены </w:t>
      </w:r>
      <w:r w:rsidRPr="00063FDC">
        <w:rPr>
          <w:color w:val="000000" w:themeColor="text1"/>
          <w:sz w:val="24"/>
          <w:szCs w:val="24"/>
          <w:lang w:val="en-US"/>
        </w:rPr>
        <w:t>BGN</w:t>
      </w:r>
      <w:r w:rsidRPr="00063FDC">
        <w:rPr>
          <w:color w:val="000000" w:themeColor="text1"/>
          <w:sz w:val="24"/>
          <w:szCs w:val="24"/>
        </w:rPr>
        <w:t xml:space="preserve">) + НКД по данным ИС </w:t>
      </w:r>
      <w:r w:rsidRPr="00063FDC">
        <w:rPr>
          <w:color w:val="000000" w:themeColor="text1"/>
          <w:sz w:val="24"/>
          <w:szCs w:val="24"/>
          <w:lang w:val="en-US"/>
        </w:rPr>
        <w:t>Bloomberg</w:t>
      </w:r>
      <w:r w:rsidRPr="00063FDC">
        <w:rPr>
          <w:color w:val="000000" w:themeColor="text1"/>
          <w:sz w:val="24"/>
          <w:szCs w:val="24"/>
        </w:rPr>
        <w:t>.</w:t>
      </w:r>
    </w:p>
    <w:p w14:paraId="33FCDD9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целей настоящего раздела, значение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округляется до 2 знака после запятой в процентном выражении.</w:t>
      </w:r>
    </w:p>
    <w:p w14:paraId="06CEEEBD"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p>
    <w:p w14:paraId="3E686F45"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6.  Расчет COR.</w:t>
      </w:r>
    </w:p>
    <w:p w14:paraId="47817751" w14:textId="77777777" w:rsidR="007558F7" w:rsidRPr="00063FDC"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063FDC" w:rsidRDefault="007558F7" w:rsidP="007558F7">
      <w:pPr>
        <w:keepNext/>
        <w:widowControl w:val="0"/>
        <w:suppressAutoHyphens w:val="0"/>
        <w:autoSpaceDE/>
        <w:spacing w:line="360" w:lineRule="auto"/>
        <w:ind w:firstLine="709"/>
        <w:jc w:val="both"/>
        <w:rPr>
          <w:rFonts w:eastAsia="Calibri"/>
          <w:b/>
          <w:bCs/>
          <w:color w:val="000000" w:themeColor="text1"/>
          <w:sz w:val="24"/>
          <w:szCs w:val="24"/>
          <w:lang w:eastAsia="en-US"/>
        </w:rPr>
      </w:pPr>
      <w:r w:rsidRPr="00063FDC">
        <w:rPr>
          <w:rFonts w:eastAsia="Calibri"/>
          <w:bCs/>
          <w:color w:val="000000" w:themeColor="text1"/>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063FDC">
        <w:rPr>
          <w:rFonts w:eastAsia="Calibri"/>
          <w:b/>
          <w:bCs/>
          <w:color w:val="000000" w:themeColor="text1"/>
          <w:sz w:val="24"/>
          <w:szCs w:val="24"/>
          <w:lang w:eastAsia="en-US"/>
        </w:rPr>
        <w:t>:</w:t>
      </w:r>
    </w:p>
    <w:p w14:paraId="2CC9E866"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58E56D1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7496011C"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39B58A8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48F501B"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900DC1A"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1087F15"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Под необеспеченной задолженностью в целях настоящего Приложения </w:t>
      </w:r>
      <w:r w:rsidRPr="00063FDC">
        <w:rPr>
          <w:color w:val="000000" w:themeColor="text1"/>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063FDC" w:rsidRDefault="007558F7" w:rsidP="00C8239C">
      <w:pPr>
        <w:numPr>
          <w:ilvl w:val="1"/>
          <w:numId w:val="40"/>
        </w:numPr>
        <w:suppressAutoHyphens w:val="0"/>
        <w:autoSpaceDE/>
        <w:spacing w:line="360" w:lineRule="auto"/>
        <w:ind w:left="0"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Оценка до возникновения фактической просрочки обязательств (стадия 1)</w:t>
      </w:r>
    </w:p>
    <w:p w14:paraId="31313A0F" w14:textId="77777777" w:rsidR="007558F7" w:rsidRPr="00063FDC" w:rsidRDefault="007558F7" w:rsidP="00C8239C">
      <w:pPr>
        <w:numPr>
          <w:ilvl w:val="2"/>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b/>
          <w:i/>
          <w:color w:val="000000" w:themeColor="text1"/>
          <w:sz w:val="24"/>
          <w:szCs w:val="24"/>
          <w:lang w:eastAsia="en-US"/>
        </w:rPr>
        <w:t>В отношении необеспеченных обязательств</w:t>
      </w:r>
      <w:r w:rsidRPr="00063FDC">
        <w:rPr>
          <w:rFonts w:eastAsia="Calibri"/>
          <w:color w:val="000000" w:themeColor="text1"/>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063FDC">
        <w:rPr>
          <w:rFonts w:eastAsia="Calibri"/>
          <w:color w:val="000000" w:themeColor="text1"/>
          <w:sz w:val="24"/>
          <w:szCs w:val="24"/>
          <w:vertAlign w:val="superscript"/>
          <w:lang w:eastAsia="en-US"/>
        </w:rPr>
        <w:footnoteReference w:id="24"/>
      </w:r>
      <w:r w:rsidRPr="00063FDC">
        <w:rPr>
          <w:rFonts w:eastAsia="Calibri"/>
          <w:color w:val="000000" w:themeColor="text1"/>
          <w:sz w:val="24"/>
          <w:szCs w:val="24"/>
          <w:lang w:eastAsia="en-US"/>
        </w:rPr>
        <w:t>:</w:t>
      </w:r>
    </w:p>
    <w:p w14:paraId="488D2645" w14:textId="77777777" w:rsidR="007558F7" w:rsidRPr="00063FDC" w:rsidRDefault="007558F7" w:rsidP="00C8239C">
      <w:pPr>
        <w:numPr>
          <w:ilvl w:val="0"/>
          <w:numId w:val="25"/>
        </w:numPr>
        <w:suppressAutoHyphens w:val="0"/>
        <w:autoSpaceDE/>
        <w:autoSpaceDN w:val="0"/>
        <w:adjustRightInd w:val="0"/>
        <w:spacing w:after="200" w:line="360" w:lineRule="auto"/>
        <w:ind w:left="0" w:firstLine="709"/>
        <w:jc w:val="both"/>
        <w:rPr>
          <w:rFonts w:eastAsia="Calibri"/>
          <w:bCs/>
          <w:color w:val="000000" w:themeColor="text1"/>
          <w:sz w:val="24"/>
          <w:szCs w:val="24"/>
          <w:lang w:eastAsia="en-US"/>
        </w:rPr>
      </w:pPr>
      <w:r w:rsidRPr="00063FDC">
        <w:rPr>
          <w:rFonts w:eastAsia="Calibri"/>
          <w:b/>
          <w:bCs/>
          <w:i/>
          <w:color w:val="000000" w:themeColor="text1"/>
          <w:sz w:val="24"/>
          <w:szCs w:val="24"/>
          <w:lang w:eastAsia="en-US"/>
        </w:rPr>
        <w:t>АО «ОТП Банк»</w:t>
      </w:r>
      <w:r w:rsidRPr="00063FDC">
        <w:rPr>
          <w:rFonts w:eastAsia="Calibri"/>
          <w:color w:val="000000" w:themeColor="text1"/>
          <w:sz w:val="24"/>
          <w:szCs w:val="24"/>
          <w:vertAlign w:val="superscript"/>
          <w:lang w:eastAsia="en-US"/>
        </w:rPr>
        <w:footnoteReference w:id="25"/>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063FDC" w14:paraId="6769754D" w14:textId="77777777" w:rsidTr="00AF784E">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ОТП Банк</w:t>
            </w:r>
          </w:p>
        </w:tc>
      </w:tr>
      <w:tr w:rsidR="007558F7" w:rsidRPr="00063FDC" w14:paraId="4DC90940" w14:textId="77777777" w:rsidTr="00AF784E">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4D67613"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r w:rsidR="007558F7" w:rsidRPr="00063FDC" w14:paraId="5A6B7C83"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наличными</w:t>
            </w:r>
          </w:p>
        </w:tc>
      </w:tr>
      <w:tr w:rsidR="007558F7" w:rsidRPr="00063FDC" w14:paraId="4CB2A0F4"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ИТОГО</w:t>
            </w:r>
            <w:r w:rsidRPr="00063FDC">
              <w:rPr>
                <w:rFonts w:eastAsia="Calibri"/>
                <w:color w:val="000000" w:themeColor="text1"/>
                <w:sz w:val="24"/>
                <w:szCs w:val="24"/>
                <w:vertAlign w:val="superscript"/>
                <w:lang w:eastAsia="en-US"/>
              </w:rPr>
              <w:footnoteReference w:id="26"/>
            </w:r>
            <w:r w:rsidRPr="00063FDC">
              <w:rPr>
                <w:b/>
                <w:i/>
                <w:color w:val="000000" w:themeColor="text1"/>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потребительские ссуды в точках продаж + ссуды наличными</w:t>
            </w:r>
          </w:p>
        </w:tc>
      </w:tr>
    </w:tbl>
    <w:p w14:paraId="7BD59E7B"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4D2DDFD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ПАО «МТС Банк»</w:t>
      </w:r>
      <w:r w:rsidRPr="00063FDC">
        <w:rPr>
          <w:rFonts w:eastAsia="Calibri"/>
          <w:color w:val="000000" w:themeColor="text1"/>
          <w:sz w:val="24"/>
          <w:szCs w:val="24"/>
          <w:vertAlign w:val="superscript"/>
          <w:lang w:val="en-US" w:eastAsia="en-US"/>
        </w:rPr>
        <w:footnoteReference w:id="27"/>
      </w:r>
    </w:p>
    <w:p w14:paraId="73F08754" w14:textId="77777777" w:rsidR="007558F7" w:rsidRPr="00063FDC" w:rsidRDefault="007558F7" w:rsidP="007558F7">
      <w:pPr>
        <w:suppressAutoHyphens w:val="0"/>
        <w:autoSpaceDN w:val="0"/>
        <w:adjustRightInd w:val="0"/>
        <w:spacing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063FDC" w14:paraId="1148E388" w14:textId="77777777" w:rsidTr="00AF784E">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МТС Банк</w:t>
            </w:r>
          </w:p>
        </w:tc>
      </w:tr>
      <w:tr w:rsidR="007558F7" w:rsidRPr="00063FDC" w14:paraId="4304D5B4"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3CDED483"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предоставленные физическим лицам</w:t>
            </w:r>
          </w:p>
        </w:tc>
      </w:tr>
    </w:tbl>
    <w:p w14:paraId="4B8B7337"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3FCFE5B7"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bookmarkStart w:id="7" w:name="_Hlk63964353"/>
      <w:r w:rsidRPr="00063FDC">
        <w:rPr>
          <w:rFonts w:eastAsia="Calibri"/>
          <w:b/>
          <w:i/>
          <w:color w:val="000000" w:themeColor="text1"/>
          <w:sz w:val="24"/>
          <w:szCs w:val="24"/>
          <w:lang w:eastAsia="en-US"/>
        </w:rPr>
        <w:t>АО «Кредит Европа Банк (Россия)</w:t>
      </w:r>
      <w:bookmarkEnd w:id="7"/>
      <w:r w:rsidRPr="00063FDC">
        <w:rPr>
          <w:rFonts w:eastAsia="Calibri"/>
          <w:b/>
          <w:i/>
          <w:color w:val="000000" w:themeColor="text1"/>
          <w:sz w:val="24"/>
          <w:szCs w:val="24"/>
          <w:lang w:eastAsia="en-US"/>
        </w:rPr>
        <w:t>»</w:t>
      </w:r>
      <w:r w:rsidRPr="00063FDC">
        <w:rPr>
          <w:rFonts w:eastAsia="Calibri"/>
          <w:color w:val="000000" w:themeColor="text1"/>
          <w:sz w:val="24"/>
          <w:szCs w:val="24"/>
          <w:vertAlign w:val="superscript"/>
          <w:lang w:eastAsia="en-US"/>
        </w:rPr>
        <w:footnoteReference w:id="28"/>
      </w:r>
    </w:p>
    <w:p w14:paraId="25AC6411" w14:textId="77777777" w:rsidR="007558F7" w:rsidRPr="00063FDC" w:rsidRDefault="007558F7" w:rsidP="007558F7">
      <w:pPr>
        <w:suppressAutoHyphens w:val="0"/>
        <w:autoSpaceDN w:val="0"/>
        <w:adjustRightInd w:val="0"/>
        <w:spacing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29D3785C"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Кредит Европа банк</w:t>
            </w:r>
          </w:p>
        </w:tc>
      </w:tr>
      <w:tr w:rsidR="007558F7" w:rsidRPr="00063FDC" w14:paraId="186E4CF5"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41100920"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и прочие кредиты, выданные физическим лицам</w:t>
            </w:r>
          </w:p>
        </w:tc>
      </w:tr>
    </w:tbl>
    <w:p w14:paraId="1F3AEFF0" w14:textId="77777777" w:rsidR="007558F7" w:rsidRPr="00063FDC" w:rsidRDefault="007558F7" w:rsidP="007558F7">
      <w:pPr>
        <w:suppressAutoHyphens w:val="0"/>
        <w:autoSpaceDE/>
        <w:spacing w:after="200" w:line="360" w:lineRule="auto"/>
        <w:ind w:firstLine="567"/>
        <w:rPr>
          <w:rFonts w:eastAsia="Calibri"/>
          <w:color w:val="000000" w:themeColor="text1"/>
          <w:sz w:val="24"/>
          <w:szCs w:val="24"/>
          <w:lang w:eastAsia="en-US"/>
        </w:rPr>
      </w:pPr>
    </w:p>
    <w:p w14:paraId="755E4A34" w14:textId="77777777" w:rsidR="00EA500A" w:rsidRPr="00346FD7" w:rsidRDefault="00EA500A" w:rsidP="00EA500A">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063FDC" w14:paraId="3E58A6BA" w14:textId="77777777" w:rsidTr="00AF784E">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Расчет средней ставки</w:t>
            </w:r>
          </w:p>
        </w:tc>
      </w:tr>
      <w:tr w:rsidR="007558F7" w:rsidRPr="00063FDC" w14:paraId="53D26924" w14:textId="77777777" w:rsidTr="00AF784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0E23C77D" w14:textId="77777777" w:rsidTr="00AF784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4,64%</w:t>
            </w:r>
          </w:p>
        </w:tc>
      </w:tr>
    </w:tbl>
    <w:p w14:paraId="0DA8CC19"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1FAA8BB6" w14:textId="77777777" w:rsidR="007558F7" w:rsidRPr="00063FDC" w:rsidRDefault="007558F7" w:rsidP="00C8239C">
      <w:pPr>
        <w:numPr>
          <w:ilvl w:val="2"/>
          <w:numId w:val="40"/>
        </w:numPr>
        <w:suppressAutoHyphens w:val="0"/>
        <w:autoSpaceDE/>
        <w:spacing w:before="120" w:after="120" w:line="360" w:lineRule="auto"/>
        <w:ind w:left="0" w:firstLine="709"/>
        <w:jc w:val="both"/>
        <w:rPr>
          <w:rFonts w:eastAsia="Calibri"/>
          <w:color w:val="000000" w:themeColor="text1"/>
          <w:sz w:val="24"/>
          <w:szCs w:val="24"/>
          <w:lang w:eastAsia="en-US"/>
        </w:rPr>
      </w:pPr>
      <w:r w:rsidRPr="00063FDC">
        <w:rPr>
          <w:rFonts w:eastAsia="Calibri"/>
          <w:b/>
          <w:i/>
          <w:color w:val="000000" w:themeColor="text1"/>
          <w:sz w:val="24"/>
          <w:szCs w:val="24"/>
          <w:lang w:eastAsia="en-US"/>
        </w:rPr>
        <w:t>В отношении обязательств, обеспеченных залогом жилой недвижимости</w:t>
      </w:r>
      <w:r w:rsidRPr="00063FDC">
        <w:rPr>
          <w:rFonts w:eastAsia="Calibri"/>
          <w:color w:val="000000" w:themeColor="text1"/>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8" w:name="_Hlk63966848"/>
      <w:r w:rsidRPr="00063FDC">
        <w:rPr>
          <w:rFonts w:eastAsia="Calibri"/>
          <w:color w:val="000000" w:themeColor="text1"/>
          <w:sz w:val="24"/>
          <w:szCs w:val="24"/>
          <w:lang w:eastAsia="en-US"/>
        </w:rPr>
        <w:t>АО Банк «ДОМ.РФ»</w:t>
      </w:r>
      <w:r w:rsidRPr="00063FDC">
        <w:rPr>
          <w:rFonts w:eastAsia="Calibri"/>
          <w:color w:val="000000" w:themeColor="text1"/>
          <w:sz w:val="24"/>
          <w:szCs w:val="24"/>
          <w:vertAlign w:val="superscript"/>
          <w:lang w:eastAsia="en-US"/>
        </w:rPr>
        <w:footnoteReference w:id="29"/>
      </w:r>
      <w:r w:rsidRPr="00063FDC">
        <w:rPr>
          <w:rFonts w:eastAsia="Calibri"/>
          <w:color w:val="000000" w:themeColor="text1"/>
          <w:sz w:val="24"/>
          <w:szCs w:val="24"/>
          <w:lang w:eastAsia="en-US"/>
        </w:rPr>
        <w:t xml:space="preserve">: </w:t>
      </w:r>
    </w:p>
    <w:bookmarkEnd w:id="8"/>
    <w:p w14:paraId="6CBE9A88"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6A6AD4C3"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063FDC" w:rsidRDefault="007558F7" w:rsidP="00AF784E">
            <w:pPr>
              <w:suppressAutoHyphens w:val="0"/>
              <w:autoSpaceDE/>
              <w:spacing w:after="200"/>
              <w:jc w:val="center"/>
              <w:rPr>
                <w:b/>
                <w:bCs/>
                <w:color w:val="000000" w:themeColor="text1"/>
                <w:sz w:val="24"/>
                <w:szCs w:val="24"/>
                <w:lang w:eastAsia="ru-RU"/>
              </w:rPr>
            </w:pPr>
            <w:bookmarkStart w:id="10" w:name="_Hlk63964451"/>
            <w:r w:rsidRPr="00063FDC">
              <w:rPr>
                <w:b/>
                <w:bCs/>
                <w:color w:val="000000" w:themeColor="text1"/>
                <w:sz w:val="24"/>
                <w:szCs w:val="24"/>
                <w:lang w:eastAsia="ru-RU"/>
              </w:rPr>
              <w:t>АО Банк «ДОМ.РФ»</w:t>
            </w:r>
            <w:bookmarkEnd w:id="10"/>
          </w:p>
        </w:tc>
      </w:tr>
      <w:tr w:rsidR="007558F7" w:rsidRPr="00063FDC" w14:paraId="73E43E96"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0DC6F476"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bl>
    <w:p w14:paraId="249D066B"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p w14:paraId="370C0F83"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63FDC" w14:paraId="0399B762" w14:textId="77777777" w:rsidTr="00AF784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55615175"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0,80</w:t>
            </w:r>
          </w:p>
        </w:tc>
      </w:tr>
    </w:tbl>
    <w:p w14:paraId="117ECA53"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48249D4E" w14:textId="77777777" w:rsidR="007558F7" w:rsidRPr="00063FDC" w:rsidRDefault="007558F7" w:rsidP="00C8239C">
      <w:pPr>
        <w:numPr>
          <w:ilvl w:val="1"/>
          <w:numId w:val="40"/>
        </w:numPr>
        <w:suppressAutoHyphens w:val="0"/>
        <w:autoSpaceDE/>
        <w:spacing w:before="120" w:after="120" w:line="360" w:lineRule="auto"/>
        <w:ind w:left="567" w:hanging="567"/>
        <w:jc w:val="both"/>
        <w:rPr>
          <w:rFonts w:eastAsia="Calibri"/>
          <w:b/>
          <w:color w:val="000000" w:themeColor="text1"/>
          <w:sz w:val="24"/>
          <w:szCs w:val="24"/>
          <w:lang w:eastAsia="en-US"/>
        </w:rPr>
      </w:pPr>
      <w:r w:rsidRPr="00063FDC">
        <w:rPr>
          <w:rFonts w:eastAsia="Calibri"/>
          <w:b/>
          <w:color w:val="000000" w:themeColor="text1"/>
          <w:sz w:val="24"/>
          <w:szCs w:val="24"/>
          <w:lang w:eastAsia="en-US"/>
        </w:rPr>
        <w:t xml:space="preserve"> Оценка при возникновении фактической просрочки обязательств (стадия 2)</w:t>
      </w:r>
    </w:p>
    <w:p w14:paraId="3FB39A4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bCs/>
          <w:i/>
          <w:color w:val="000000" w:themeColor="text1"/>
          <w:sz w:val="24"/>
          <w:szCs w:val="24"/>
          <w:lang w:eastAsia="en-US"/>
        </w:rPr>
        <w:t>АО «ОТП Банк»</w:t>
      </w:r>
      <w:r w:rsidRPr="00063FDC">
        <w:rPr>
          <w:rFonts w:eastAsia="Calibri"/>
          <w:color w:val="000000" w:themeColor="text1"/>
          <w:sz w:val="24"/>
          <w:szCs w:val="24"/>
          <w:vertAlign w:val="superscript"/>
          <w:lang w:val="en-US" w:eastAsia="en-US"/>
        </w:rPr>
        <w:footnoteReference w:id="30"/>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063FDC" w14:paraId="5AEEC1B9" w14:textId="77777777" w:rsidTr="00AF784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3EFFED70" w14:textId="77777777" w:rsidTr="00AF784E">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r w:rsidR="007558F7" w:rsidRPr="00063FDC" w14:paraId="7CB182EB" w14:textId="77777777" w:rsidTr="00AF784E">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063FDC" w:rsidRDefault="007558F7" w:rsidP="00AF784E">
            <w:pPr>
              <w:suppressAutoHyphens w:val="0"/>
              <w:autoSpaceDE/>
              <w:spacing w:after="200"/>
              <w:rPr>
                <w:color w:val="000000" w:themeColor="text1"/>
                <w:sz w:val="24"/>
                <w:szCs w:val="24"/>
                <w:lang w:eastAsia="ru-RU"/>
              </w:rPr>
            </w:pPr>
          </w:p>
        </w:tc>
      </w:tr>
      <w:tr w:rsidR="007558F7" w:rsidRPr="00063FDC" w14:paraId="50A6369C" w14:textId="77777777" w:rsidTr="00AF784E">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063FDC" w:rsidRDefault="007558F7" w:rsidP="00AF784E">
            <w:pPr>
              <w:suppressAutoHyphens w:val="0"/>
              <w:autoSpaceDE/>
              <w:spacing w:after="200"/>
              <w:rPr>
                <w:color w:val="000000" w:themeColor="text1"/>
                <w:sz w:val="24"/>
                <w:szCs w:val="24"/>
                <w:lang w:eastAsia="ru-RU"/>
              </w:rPr>
            </w:pPr>
          </w:p>
        </w:tc>
      </w:tr>
    </w:tbl>
    <w:p w14:paraId="1389E46D"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6625F598" w14:textId="77777777" w:rsidTr="00AF784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5D24229A" w14:textId="77777777" w:rsidTr="00AF784E">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наличными</w:t>
            </w:r>
          </w:p>
        </w:tc>
      </w:tr>
      <w:tr w:rsidR="007558F7" w:rsidRPr="00063FDC" w14:paraId="583869D0" w14:textId="77777777" w:rsidTr="00AF784E">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063FDC" w:rsidRDefault="007558F7" w:rsidP="00AF784E">
            <w:pPr>
              <w:suppressAutoHyphens w:val="0"/>
              <w:autoSpaceDE/>
              <w:spacing w:after="200"/>
              <w:rPr>
                <w:color w:val="000000" w:themeColor="text1"/>
                <w:sz w:val="24"/>
                <w:szCs w:val="24"/>
                <w:lang w:eastAsia="ru-RU"/>
              </w:rPr>
            </w:pPr>
          </w:p>
        </w:tc>
      </w:tr>
      <w:tr w:rsidR="007558F7" w:rsidRPr="00063FDC" w14:paraId="4AF5826D" w14:textId="77777777" w:rsidTr="00AF784E">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063FDC" w:rsidRDefault="007558F7" w:rsidP="00AF784E">
            <w:pPr>
              <w:suppressAutoHyphens w:val="0"/>
              <w:autoSpaceDE/>
              <w:spacing w:after="200"/>
              <w:rPr>
                <w:color w:val="000000" w:themeColor="text1"/>
                <w:sz w:val="24"/>
                <w:szCs w:val="24"/>
                <w:lang w:eastAsia="ru-RU"/>
              </w:rPr>
            </w:pPr>
          </w:p>
        </w:tc>
      </w:tr>
    </w:tbl>
    <w:p w14:paraId="4799671D"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063FDC" w14:paraId="6F260F64" w14:textId="77777777" w:rsidTr="00AF784E">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4B13D2D9" w14:textId="77777777" w:rsidTr="00AF784E">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bl>
    <w:p w14:paraId="528CA06E"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56591742" w14:textId="77777777" w:rsidTr="00AF784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AA54A77" w14:textId="77777777" w:rsidTr="00AF784E">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ссуды наличными</w:t>
            </w:r>
          </w:p>
        </w:tc>
      </w:tr>
    </w:tbl>
    <w:p w14:paraId="5226865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063FDC" w14:paraId="4C4F97A4"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ОТП Банк</w:t>
            </w:r>
          </w:p>
        </w:tc>
      </w:tr>
      <w:tr w:rsidR="007558F7" w:rsidRPr="00063FDC" w14:paraId="24169379" w14:textId="77777777" w:rsidTr="00AF784E">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42553A8" w14:textId="77777777" w:rsidTr="00AF784E">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ссуды в точках продаж + ссуды наличными</w:t>
            </w:r>
          </w:p>
        </w:tc>
      </w:tr>
    </w:tbl>
    <w:p w14:paraId="07073418"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3A662AF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ПАО «МТС Банк»</w:t>
      </w:r>
      <w:r w:rsidRPr="00063FDC">
        <w:rPr>
          <w:rFonts w:eastAsia="Calibri"/>
          <w:color w:val="000000" w:themeColor="text1"/>
          <w:sz w:val="24"/>
          <w:szCs w:val="24"/>
          <w:vertAlign w:val="superscript"/>
          <w:lang w:val="en-US" w:eastAsia="en-US"/>
        </w:rPr>
        <w:footnoteReference w:id="31"/>
      </w:r>
    </w:p>
    <w:p w14:paraId="7C8A88E3"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063FDC" w14:paraId="7A2B4E74"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МТС Банк</w:t>
            </w:r>
          </w:p>
        </w:tc>
      </w:tr>
      <w:tr w:rsidR="007558F7" w:rsidRPr="00063FDC" w14:paraId="728412B3" w14:textId="77777777" w:rsidTr="00AF784E">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1CF92B6" w14:textId="77777777" w:rsidTr="00AF784E">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ссуды, предоставленные физическим лицам</w:t>
            </w:r>
          </w:p>
        </w:tc>
      </w:tr>
    </w:tbl>
    <w:p w14:paraId="733C4BD2"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p w14:paraId="6B35B338"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АО «Кредит Европа Банк (Россия)»</w:t>
      </w:r>
      <w:r w:rsidRPr="00063FDC">
        <w:rPr>
          <w:rFonts w:eastAsia="Calibri"/>
          <w:color w:val="000000" w:themeColor="text1"/>
          <w:sz w:val="24"/>
          <w:szCs w:val="24"/>
          <w:vertAlign w:val="superscript"/>
          <w:lang w:eastAsia="en-US"/>
        </w:rPr>
        <w:footnoteReference w:id="32"/>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063FDC" w14:paraId="7AD3D0D9" w14:textId="77777777" w:rsidTr="00AF784E">
        <w:trPr>
          <w:trHeight w:val="255"/>
        </w:trPr>
        <w:tc>
          <w:tcPr>
            <w:tcW w:w="9938" w:type="dxa"/>
            <w:gridSpan w:val="5"/>
            <w:noWrap/>
            <w:vAlign w:val="bottom"/>
            <w:hideMark/>
          </w:tcPr>
          <w:p w14:paraId="062955F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Кредит Европа банк</w:t>
            </w:r>
          </w:p>
        </w:tc>
      </w:tr>
      <w:tr w:rsidR="007558F7" w:rsidRPr="00063FDC" w14:paraId="6C3A18ED" w14:textId="77777777" w:rsidTr="00AF784E">
        <w:trPr>
          <w:trHeight w:val="501"/>
        </w:trPr>
        <w:tc>
          <w:tcPr>
            <w:tcW w:w="2165" w:type="dxa"/>
            <w:noWrap/>
            <w:vAlign w:val="bottom"/>
            <w:hideMark/>
          </w:tcPr>
          <w:p w14:paraId="2B00192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103" w:type="dxa"/>
            <w:vAlign w:val="bottom"/>
            <w:hideMark/>
          </w:tcPr>
          <w:p w14:paraId="3DD1E4F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noWrap/>
            <w:vAlign w:val="bottom"/>
            <w:hideMark/>
          </w:tcPr>
          <w:p w14:paraId="384A35A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noWrap/>
            <w:vAlign w:val="bottom"/>
            <w:hideMark/>
          </w:tcPr>
          <w:p w14:paraId="11F9BBB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noWrap/>
            <w:vAlign w:val="bottom"/>
            <w:hideMark/>
          </w:tcPr>
          <w:p w14:paraId="34A2FFB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8CE65A3" w14:textId="77777777" w:rsidTr="00AF784E">
        <w:trPr>
          <w:trHeight w:val="495"/>
        </w:trPr>
        <w:tc>
          <w:tcPr>
            <w:tcW w:w="2165" w:type="dxa"/>
            <w:vAlign w:val="center"/>
            <w:hideMark/>
          </w:tcPr>
          <w:p w14:paraId="0BDB347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768 394,00</w:t>
            </w:r>
          </w:p>
        </w:tc>
        <w:tc>
          <w:tcPr>
            <w:tcW w:w="1843" w:type="dxa"/>
            <w:shd w:val="clear" w:color="auto" w:fill="92D050"/>
            <w:noWrap/>
            <w:vAlign w:val="center"/>
            <w:hideMark/>
          </w:tcPr>
          <w:p w14:paraId="44130F8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174 826,00</w:t>
            </w:r>
          </w:p>
        </w:tc>
        <w:tc>
          <w:tcPr>
            <w:tcW w:w="1275" w:type="dxa"/>
            <w:noWrap/>
            <w:vAlign w:val="center"/>
            <w:hideMark/>
          </w:tcPr>
          <w:p w14:paraId="2A487FB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22,75</w:t>
            </w:r>
          </w:p>
        </w:tc>
        <w:tc>
          <w:tcPr>
            <w:tcW w:w="2552" w:type="dxa"/>
            <w:vAlign w:val="center"/>
            <w:hideMark/>
          </w:tcPr>
          <w:p w14:paraId="3A598EF7"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и прочие кредиты, выданные физическим лицам</w:t>
            </w:r>
          </w:p>
        </w:tc>
      </w:tr>
    </w:tbl>
    <w:p w14:paraId="411DD1C4" w14:textId="77777777" w:rsidR="007558F7" w:rsidRPr="00063FDC" w:rsidRDefault="007558F7" w:rsidP="007558F7">
      <w:pPr>
        <w:suppressAutoHyphens w:val="0"/>
        <w:autoSpaceDE/>
        <w:spacing w:after="200" w:line="360" w:lineRule="auto"/>
        <w:ind w:firstLine="567"/>
        <w:rPr>
          <w:rFonts w:eastAsia="Calibri"/>
          <w:color w:val="000000" w:themeColor="text1"/>
          <w:sz w:val="24"/>
          <w:szCs w:val="24"/>
          <w:lang w:eastAsia="en-US"/>
        </w:rPr>
      </w:pPr>
    </w:p>
    <w:p w14:paraId="530CDD55" w14:textId="77777777" w:rsidR="006530E4" w:rsidRPr="00346FD7" w:rsidRDefault="006530E4" w:rsidP="006530E4">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506347BD"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63FDC" w14:paraId="764B8E91" w14:textId="77777777" w:rsidTr="00AF784E">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расчет средней ставки</w:t>
            </w:r>
          </w:p>
        </w:tc>
      </w:tr>
      <w:tr w:rsidR="007558F7" w:rsidRPr="00063FDC" w14:paraId="61AA8CB8" w14:textId="77777777" w:rsidTr="00AF784E">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15D57FD0"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33%</w:t>
            </w:r>
          </w:p>
        </w:tc>
      </w:tr>
    </w:tbl>
    <w:p w14:paraId="3A950928"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028D1F06"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063FDC">
        <w:rPr>
          <w:rFonts w:eastAsia="Calibri"/>
          <w:color w:val="000000" w:themeColor="text1"/>
          <w:sz w:val="24"/>
          <w:szCs w:val="24"/>
          <w:vertAlign w:val="superscript"/>
          <w:lang w:val="en-US" w:eastAsia="en-US"/>
        </w:rPr>
        <w:footnoteReference w:id="33"/>
      </w:r>
      <w:r w:rsidRPr="00063FDC">
        <w:rPr>
          <w:rFonts w:eastAsia="Calibri"/>
          <w:color w:val="000000" w:themeColor="text1"/>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121FC82C" w14:textId="77777777" w:rsidTr="00AF784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207BE35E" w14:textId="77777777" w:rsidTr="00AF784E">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r w:rsidR="007558F7" w:rsidRPr="00063FDC" w14:paraId="65B58DF3" w14:textId="77777777" w:rsidTr="00AF784E">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063FDC" w:rsidRDefault="007558F7" w:rsidP="00AF784E">
            <w:pPr>
              <w:suppressAutoHyphens w:val="0"/>
              <w:autoSpaceDE/>
              <w:spacing w:after="200" w:line="360" w:lineRule="auto"/>
              <w:rPr>
                <w:color w:val="000000" w:themeColor="text1"/>
                <w:sz w:val="24"/>
                <w:szCs w:val="24"/>
                <w:lang w:eastAsia="ru-RU"/>
              </w:rPr>
            </w:pPr>
          </w:p>
        </w:tc>
      </w:tr>
    </w:tbl>
    <w:p w14:paraId="011391F3"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66D2D59E" w14:textId="77777777" w:rsidR="007558F7" w:rsidRPr="00063FDC" w:rsidRDefault="007558F7" w:rsidP="007558F7">
      <w:pPr>
        <w:suppressAutoHyphens w:val="0"/>
        <w:autoSpaceDN w:val="0"/>
        <w:adjustRightInd w:val="0"/>
        <w:spacing w:line="360" w:lineRule="auto"/>
        <w:ind w:left="720"/>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31E74105"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АО Банк «ДОМ.РФ»</w:t>
            </w:r>
          </w:p>
        </w:tc>
      </w:tr>
      <w:tr w:rsidR="007558F7" w:rsidRPr="00063FDC" w14:paraId="2BCD201F" w14:textId="77777777" w:rsidTr="00AF784E">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528315E" w14:textId="77777777" w:rsidTr="00AF784E">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bl>
    <w:p w14:paraId="41FA987F"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p w14:paraId="45B92690"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063FDC" w14:paraId="1A38AFA0" w14:textId="77777777" w:rsidTr="00AF784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5FCE1BCF"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val="en-US" w:eastAsia="ru-RU"/>
              </w:rPr>
              <w:t>13</w:t>
            </w:r>
            <w:r w:rsidRPr="00063FDC">
              <w:rPr>
                <w:b/>
                <w:color w:val="000000" w:themeColor="text1"/>
                <w:sz w:val="24"/>
                <w:szCs w:val="24"/>
                <w:lang w:eastAsia="ru-RU"/>
              </w:rPr>
              <w:t>,72</w:t>
            </w:r>
          </w:p>
        </w:tc>
      </w:tr>
    </w:tbl>
    <w:p w14:paraId="010DC785" w14:textId="77777777" w:rsidR="007558F7" w:rsidRPr="00063FDC" w:rsidRDefault="007558F7" w:rsidP="007558F7">
      <w:pPr>
        <w:suppressAutoHyphens w:val="0"/>
        <w:autoSpaceDE/>
        <w:spacing w:line="25" w:lineRule="atLeast"/>
        <w:ind w:firstLine="709"/>
        <w:jc w:val="both"/>
        <w:rPr>
          <w:rFonts w:eastAsia="Calibri"/>
          <w:color w:val="000000" w:themeColor="text1"/>
          <w:sz w:val="24"/>
          <w:szCs w:val="24"/>
          <w:lang w:eastAsia="en-US"/>
        </w:rPr>
      </w:pPr>
    </w:p>
    <w:p w14:paraId="08ABDB56" w14:textId="77777777" w:rsidR="007558F7" w:rsidRPr="00063FDC" w:rsidRDefault="007558F7" w:rsidP="007558F7">
      <w:pPr>
        <w:pStyle w:val="a0"/>
        <w:numPr>
          <w:ilvl w:val="0"/>
          <w:numId w:val="0"/>
        </w:numPr>
        <w:spacing w:before="0" w:after="0" w:line="360" w:lineRule="auto"/>
        <w:jc w:val="both"/>
        <w:rPr>
          <w:color w:val="000000" w:themeColor="text1"/>
          <w:szCs w:val="24"/>
        </w:rPr>
      </w:pPr>
      <w:r w:rsidRPr="00063FDC">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063FDC" w:rsidRDefault="007558F7" w:rsidP="007558F7">
      <w:pPr>
        <w:pStyle w:val="a0"/>
        <w:numPr>
          <w:ilvl w:val="0"/>
          <w:numId w:val="0"/>
        </w:numPr>
        <w:spacing w:before="0" w:after="0" w:line="360" w:lineRule="auto"/>
        <w:ind w:left="709"/>
        <w:jc w:val="both"/>
        <w:rPr>
          <w:color w:val="000000" w:themeColor="text1"/>
          <w:szCs w:val="24"/>
        </w:rPr>
      </w:pPr>
    </w:p>
    <w:p w14:paraId="5702023D"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063FDC" w:rsidRDefault="007558F7" w:rsidP="007558F7">
      <w:pPr>
        <w:suppressAutoHyphens w:val="0"/>
        <w:autoSpaceDE/>
        <w:spacing w:after="160" w:line="259" w:lineRule="auto"/>
        <w:ind w:firstLine="709"/>
        <w:rPr>
          <w:b/>
          <w:color w:val="000000" w:themeColor="text1"/>
          <w:sz w:val="24"/>
          <w:szCs w:val="24"/>
        </w:rPr>
      </w:pPr>
      <w:r w:rsidRPr="00063FDC">
        <w:rPr>
          <w:b/>
          <w:color w:val="000000" w:themeColor="text1"/>
          <w:sz w:val="24"/>
          <w:szCs w:val="24"/>
        </w:rPr>
        <w:br w:type="page"/>
      </w:r>
    </w:p>
    <w:p w14:paraId="41713DEB" w14:textId="3A8634B8"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t>Приложение А к Приложению 10</w:t>
      </w:r>
      <w:r w:rsidR="007558F7" w:rsidRPr="00063FDC">
        <w:rPr>
          <w:b/>
          <w:color w:val="000000" w:themeColor="text1"/>
          <w:sz w:val="24"/>
          <w:szCs w:val="24"/>
        </w:rPr>
        <w:t>.</w:t>
      </w:r>
    </w:p>
    <w:p w14:paraId="30614633" w14:textId="77777777" w:rsidR="007558F7" w:rsidRPr="00063FDC" w:rsidRDefault="007558F7" w:rsidP="007558F7">
      <w:pPr>
        <w:pStyle w:val="a8"/>
        <w:spacing w:line="360" w:lineRule="auto"/>
        <w:ind w:left="0"/>
        <w:jc w:val="right"/>
        <w:rPr>
          <w:color w:val="000000" w:themeColor="text1"/>
          <w:sz w:val="24"/>
          <w:szCs w:val="24"/>
        </w:rPr>
      </w:pPr>
    </w:p>
    <w:p w14:paraId="1ECEE699"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Список источников, используемых для оценки кредитного риска.</w:t>
      </w:r>
    </w:p>
    <w:p w14:paraId="02714DC8" w14:textId="77777777" w:rsidR="007558F7" w:rsidRPr="00063FDC" w:rsidRDefault="007558F7" w:rsidP="007558F7">
      <w:pPr>
        <w:pStyle w:val="a8"/>
        <w:spacing w:line="360" w:lineRule="auto"/>
        <w:ind w:left="0" w:firstLine="709"/>
        <w:rPr>
          <w:b/>
          <w:color w:val="000000" w:themeColor="text1"/>
          <w:sz w:val="24"/>
          <w:szCs w:val="24"/>
        </w:rPr>
      </w:pPr>
    </w:p>
    <w:p w14:paraId="4FC1AF19" w14:textId="77777777" w:rsidR="007558F7" w:rsidRPr="00063FDC" w:rsidRDefault="007558F7" w:rsidP="00C8239C">
      <w:pPr>
        <w:pStyle w:val="a8"/>
        <w:numPr>
          <w:ilvl w:val="0"/>
          <w:numId w:val="31"/>
        </w:numPr>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rPr>
        <w:t xml:space="preserve">   </w:t>
      </w:r>
      <w:r w:rsidRPr="00063FDC">
        <w:rPr>
          <w:color w:val="000000" w:themeColor="text1"/>
          <w:sz w:val="24"/>
          <w:szCs w:val="24"/>
          <w:u w:val="single"/>
        </w:rPr>
        <w:t>В отношении юридических лиц:</w:t>
      </w:r>
    </w:p>
    <w:p w14:paraId="546729D3"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уполномоченное агентство ЗАО «Интерфакс» </w:t>
      </w:r>
      <w:hyperlink r:id="rId92" w:history="1">
        <w:r w:rsidRPr="00063FDC">
          <w:rPr>
            <w:rStyle w:val="af4"/>
            <w:color w:val="000000" w:themeColor="text1"/>
            <w:sz w:val="24"/>
            <w:szCs w:val="24"/>
          </w:rPr>
          <w:t>https://www.e-disclosure.ru/</w:t>
        </w:r>
      </w:hyperlink>
      <w:r w:rsidRPr="00063FDC">
        <w:rPr>
          <w:color w:val="000000" w:themeColor="text1"/>
          <w:sz w:val="24"/>
          <w:szCs w:val="24"/>
        </w:rPr>
        <w:t>;</w:t>
      </w:r>
    </w:p>
    <w:p w14:paraId="14BC690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Московская Биржа </w:t>
      </w:r>
      <w:hyperlink r:id="rId93" w:history="1">
        <w:r w:rsidRPr="00063FDC">
          <w:rPr>
            <w:rStyle w:val="af4"/>
            <w:color w:val="000000" w:themeColor="text1"/>
            <w:sz w:val="24"/>
            <w:szCs w:val="24"/>
          </w:rPr>
          <w:t>https://www.moex.com/</w:t>
        </w:r>
      </w:hyperlink>
      <w:r w:rsidRPr="00063FDC">
        <w:rPr>
          <w:color w:val="000000" w:themeColor="text1"/>
          <w:sz w:val="24"/>
          <w:szCs w:val="24"/>
        </w:rPr>
        <w:t>;</w:t>
      </w:r>
    </w:p>
    <w:p w14:paraId="1B16288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сайт Центрального Банка РФ </w:t>
      </w:r>
      <w:hyperlink r:id="rId94" w:history="1">
        <w:r w:rsidRPr="00063FDC">
          <w:rPr>
            <w:rStyle w:val="af4"/>
            <w:color w:val="000000" w:themeColor="text1"/>
            <w:sz w:val="24"/>
            <w:szCs w:val="24"/>
          </w:rPr>
          <w:t>https://www.cbr.ru/</w:t>
        </w:r>
      </w:hyperlink>
      <w:r w:rsidRPr="00063FDC">
        <w:rPr>
          <w:color w:val="000000" w:themeColor="text1"/>
          <w:sz w:val="24"/>
          <w:szCs w:val="24"/>
        </w:rPr>
        <w:t>;</w:t>
      </w:r>
    </w:p>
    <w:p w14:paraId="3C1DADF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картотека арбитражных дел </w:t>
      </w:r>
      <w:hyperlink r:id="rId95" w:history="1">
        <w:r w:rsidRPr="00063FDC">
          <w:rPr>
            <w:rStyle w:val="af4"/>
            <w:color w:val="000000" w:themeColor="text1"/>
            <w:sz w:val="24"/>
            <w:szCs w:val="24"/>
          </w:rPr>
          <w:t>https://kad.arbitr.ru</w:t>
        </w:r>
      </w:hyperlink>
      <w:r w:rsidRPr="00063FDC">
        <w:rPr>
          <w:color w:val="000000" w:themeColor="text1"/>
          <w:sz w:val="24"/>
          <w:szCs w:val="24"/>
          <w:u w:val="single"/>
        </w:rPr>
        <w:t>;</w:t>
      </w:r>
    </w:p>
    <w:p w14:paraId="59A7BE4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единый федеральный реестр сведений о банкротстве </w:t>
      </w:r>
      <w:hyperlink r:id="rId96" w:history="1">
        <w:r w:rsidRPr="00063FDC">
          <w:rPr>
            <w:rStyle w:val="af4"/>
            <w:color w:val="000000" w:themeColor="text1"/>
            <w:sz w:val="24"/>
            <w:szCs w:val="24"/>
          </w:rPr>
          <w:t>https://bankrot.fedresurs.ru</w:t>
        </w:r>
      </w:hyperlink>
      <w:r w:rsidRPr="00063FDC">
        <w:rPr>
          <w:color w:val="000000" w:themeColor="text1"/>
          <w:sz w:val="24"/>
          <w:szCs w:val="24"/>
          <w:u w:val="single"/>
        </w:rPr>
        <w:t>;</w:t>
      </w:r>
    </w:p>
    <w:p w14:paraId="133BE365"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фактах деятельности юридических лиц </w:t>
      </w:r>
      <w:hyperlink r:id="rId97" w:history="1">
        <w:r w:rsidRPr="00063FDC">
          <w:rPr>
            <w:rStyle w:val="af4"/>
            <w:color w:val="000000" w:themeColor="text1"/>
            <w:sz w:val="24"/>
            <w:szCs w:val="24"/>
          </w:rPr>
          <w:t>https://fedresurs.ru</w:t>
        </w:r>
      </w:hyperlink>
      <w:r w:rsidRPr="00063FDC">
        <w:rPr>
          <w:color w:val="000000" w:themeColor="text1"/>
          <w:sz w:val="24"/>
          <w:szCs w:val="24"/>
          <w:u w:val="single"/>
        </w:rPr>
        <w:t>;</w:t>
      </w:r>
    </w:p>
    <w:p w14:paraId="7B8F4A3E"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https://www.acra-ratings.ru/;</w:t>
      </w:r>
    </w:p>
    <w:p w14:paraId="43202156"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https://raexpert.ru/;</w:t>
      </w:r>
    </w:p>
    <w:p w14:paraId="42ABC0F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https://www.fitchratings.com/;</w:t>
      </w:r>
    </w:p>
    <w:p w14:paraId="5216FD6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lang w:val="en-US"/>
        </w:rPr>
        <w:t>https</w:t>
      </w:r>
      <w:r w:rsidRPr="00063FDC">
        <w:rPr>
          <w:color w:val="000000" w:themeColor="text1"/>
          <w:sz w:val="24"/>
          <w:szCs w:val="24"/>
        </w:rPr>
        <w:t>://</w:t>
      </w:r>
      <w:r w:rsidRPr="00063FDC">
        <w:rPr>
          <w:color w:val="000000" w:themeColor="text1"/>
          <w:sz w:val="24"/>
          <w:szCs w:val="24"/>
          <w:lang w:val="en-US"/>
        </w:rPr>
        <w:t>www</w:t>
      </w:r>
      <w:r w:rsidRPr="00063FDC">
        <w:rPr>
          <w:color w:val="000000" w:themeColor="text1"/>
          <w:sz w:val="24"/>
          <w:szCs w:val="24"/>
        </w:rPr>
        <w:t>.</w:t>
      </w:r>
      <w:r w:rsidRPr="00063FDC">
        <w:rPr>
          <w:color w:val="000000" w:themeColor="text1"/>
          <w:sz w:val="24"/>
          <w:szCs w:val="24"/>
          <w:lang w:val="en-US"/>
        </w:rPr>
        <w:t>standardandpoors</w:t>
      </w:r>
      <w:r w:rsidRPr="00063FDC">
        <w:rPr>
          <w:color w:val="000000" w:themeColor="text1"/>
          <w:sz w:val="24"/>
          <w:szCs w:val="24"/>
        </w:rPr>
        <w:t>.</w:t>
      </w:r>
      <w:r w:rsidRPr="00063FDC">
        <w:rPr>
          <w:color w:val="000000" w:themeColor="text1"/>
          <w:sz w:val="24"/>
          <w:szCs w:val="24"/>
          <w:lang w:val="en-US"/>
        </w:rPr>
        <w:t>com</w:t>
      </w:r>
      <w:r w:rsidRPr="00063FDC">
        <w:rPr>
          <w:color w:val="000000" w:themeColor="text1"/>
          <w:sz w:val="24"/>
          <w:szCs w:val="24"/>
        </w:rPr>
        <w:t>/;</w:t>
      </w:r>
    </w:p>
    <w:p w14:paraId="5704364D" w14:textId="77777777" w:rsidR="007558F7" w:rsidRPr="00063FDC" w:rsidRDefault="00B15290" w:rsidP="00C8239C">
      <w:pPr>
        <w:pStyle w:val="a8"/>
        <w:numPr>
          <w:ilvl w:val="0"/>
          <w:numId w:val="38"/>
        </w:numPr>
        <w:suppressAutoHyphens w:val="0"/>
        <w:autoSpaceDE/>
        <w:spacing w:line="360" w:lineRule="auto"/>
        <w:jc w:val="both"/>
        <w:rPr>
          <w:color w:val="000000" w:themeColor="text1"/>
          <w:sz w:val="24"/>
          <w:szCs w:val="24"/>
        </w:rPr>
      </w:pPr>
      <w:hyperlink r:id="rId98" w:history="1">
        <w:r w:rsidR="007558F7" w:rsidRPr="00063FDC">
          <w:rPr>
            <w:rStyle w:val="af4"/>
            <w:color w:val="000000" w:themeColor="text1"/>
            <w:sz w:val="24"/>
            <w:szCs w:val="24"/>
            <w:lang w:val="en-US"/>
          </w:rPr>
          <w:t>https</w:t>
        </w:r>
        <w:r w:rsidR="007558F7" w:rsidRPr="00063FDC">
          <w:rPr>
            <w:rStyle w:val="af4"/>
            <w:color w:val="000000" w:themeColor="text1"/>
            <w:sz w:val="24"/>
            <w:szCs w:val="24"/>
          </w:rPr>
          <w:t>://</w:t>
        </w:r>
        <w:r w:rsidR="007558F7" w:rsidRPr="00063FDC">
          <w:rPr>
            <w:rStyle w:val="af4"/>
            <w:color w:val="000000" w:themeColor="text1"/>
            <w:sz w:val="24"/>
            <w:szCs w:val="24"/>
            <w:lang w:val="en-US"/>
          </w:rPr>
          <w:t>www</w:t>
        </w:r>
        <w:r w:rsidR="007558F7" w:rsidRPr="00063FDC">
          <w:rPr>
            <w:rStyle w:val="af4"/>
            <w:color w:val="000000" w:themeColor="text1"/>
            <w:sz w:val="24"/>
            <w:szCs w:val="24"/>
          </w:rPr>
          <w:t>.</w:t>
        </w:r>
        <w:r w:rsidR="007558F7" w:rsidRPr="00063FDC">
          <w:rPr>
            <w:rStyle w:val="af4"/>
            <w:color w:val="000000" w:themeColor="text1"/>
            <w:sz w:val="24"/>
            <w:szCs w:val="24"/>
            <w:lang w:val="en-US"/>
          </w:rPr>
          <w:t>moodys</w:t>
        </w:r>
        <w:r w:rsidR="007558F7" w:rsidRPr="00063FDC">
          <w:rPr>
            <w:rStyle w:val="af4"/>
            <w:color w:val="000000" w:themeColor="text1"/>
            <w:sz w:val="24"/>
            <w:szCs w:val="24"/>
          </w:rPr>
          <w:t>.</w:t>
        </w:r>
        <w:r w:rsidR="007558F7" w:rsidRPr="00063FDC">
          <w:rPr>
            <w:rStyle w:val="af4"/>
            <w:color w:val="000000" w:themeColor="text1"/>
            <w:sz w:val="24"/>
            <w:szCs w:val="24"/>
            <w:lang w:val="en-US"/>
          </w:rPr>
          <w:t>com</w:t>
        </w:r>
        <w:r w:rsidR="007558F7" w:rsidRPr="00063FDC">
          <w:rPr>
            <w:rStyle w:val="af4"/>
            <w:color w:val="000000" w:themeColor="text1"/>
            <w:sz w:val="24"/>
            <w:szCs w:val="24"/>
          </w:rPr>
          <w:t>/</w:t>
        </w:r>
      </w:hyperlink>
      <w:r w:rsidR="007558F7" w:rsidRPr="00063FDC">
        <w:rPr>
          <w:color w:val="000000" w:themeColor="text1"/>
          <w:sz w:val="24"/>
          <w:szCs w:val="24"/>
        </w:rPr>
        <w:t>;</w:t>
      </w:r>
    </w:p>
    <w:p w14:paraId="57A418A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официальный сайт контрагента/эмитента/кредитной организации;</w:t>
      </w:r>
    </w:p>
    <w:p w14:paraId="4D5312C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сервис предоставления бухгалтерской (годовой) отчетности Росстата - </w:t>
      </w:r>
      <w:hyperlink r:id="rId99" w:history="1">
        <w:r w:rsidRPr="00063FDC">
          <w:rPr>
            <w:rStyle w:val="af4"/>
            <w:color w:val="000000" w:themeColor="text1"/>
            <w:sz w:val="24"/>
            <w:szCs w:val="24"/>
          </w:rPr>
          <w:t>http://www.gks.ru/accounting_report</w:t>
        </w:r>
      </w:hyperlink>
      <w:r w:rsidRPr="00063FDC">
        <w:rPr>
          <w:color w:val="000000" w:themeColor="text1"/>
          <w:sz w:val="24"/>
          <w:szCs w:val="24"/>
        </w:rPr>
        <w:t>;</w:t>
      </w:r>
    </w:p>
    <w:p w14:paraId="0704B1D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063FDC" w:rsidRDefault="007558F7" w:rsidP="00C8239C">
      <w:pPr>
        <w:pStyle w:val="a8"/>
        <w:numPr>
          <w:ilvl w:val="0"/>
          <w:numId w:val="31"/>
        </w:numPr>
        <w:suppressAutoHyphens w:val="0"/>
        <w:autoSpaceDE/>
        <w:spacing w:line="360" w:lineRule="auto"/>
        <w:ind w:left="1134" w:hanging="425"/>
        <w:jc w:val="both"/>
        <w:rPr>
          <w:color w:val="000000" w:themeColor="text1"/>
          <w:sz w:val="24"/>
          <w:szCs w:val="24"/>
          <w:u w:val="single"/>
        </w:rPr>
      </w:pPr>
      <w:r w:rsidRPr="00063FDC">
        <w:rPr>
          <w:color w:val="000000" w:themeColor="text1"/>
          <w:sz w:val="24"/>
          <w:szCs w:val="24"/>
          <w:u w:val="single"/>
        </w:rPr>
        <w:t>В отношении физических лиц:</w:t>
      </w:r>
    </w:p>
    <w:p w14:paraId="3195110E"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картотека арбитражных дел </w:t>
      </w:r>
      <w:hyperlink r:id="rId100" w:history="1">
        <w:r w:rsidRPr="00063FDC">
          <w:rPr>
            <w:rStyle w:val="af4"/>
            <w:color w:val="000000" w:themeColor="text1"/>
            <w:sz w:val="24"/>
            <w:szCs w:val="24"/>
          </w:rPr>
          <w:t>https://kad.arbitr.ru</w:t>
        </w:r>
      </w:hyperlink>
    </w:p>
    <w:p w14:paraId="3EBC1908"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банкротстве </w:t>
      </w:r>
      <w:hyperlink r:id="rId101" w:history="1">
        <w:r w:rsidRPr="00063FDC">
          <w:rPr>
            <w:rStyle w:val="af4"/>
            <w:color w:val="000000" w:themeColor="text1"/>
            <w:sz w:val="24"/>
            <w:szCs w:val="24"/>
          </w:rPr>
          <w:t>https://bankrot.fedresurs.ru</w:t>
        </w:r>
      </w:hyperlink>
    </w:p>
    <w:p w14:paraId="511924AB" w14:textId="77777777" w:rsidR="007558F7" w:rsidRPr="00063FDC" w:rsidRDefault="007558F7" w:rsidP="00C8239C">
      <w:pPr>
        <w:pStyle w:val="a8"/>
        <w:numPr>
          <w:ilvl w:val="0"/>
          <w:numId w:val="39"/>
        </w:numPr>
        <w:suppressAutoHyphens w:val="0"/>
        <w:autoSpaceDE/>
        <w:spacing w:line="360" w:lineRule="auto"/>
        <w:jc w:val="both"/>
        <w:rPr>
          <w:rStyle w:val="af4"/>
          <w:color w:val="000000" w:themeColor="text1"/>
          <w:sz w:val="24"/>
          <w:szCs w:val="24"/>
        </w:rPr>
      </w:pPr>
      <w:r w:rsidRPr="00063FDC">
        <w:rPr>
          <w:color w:val="000000" w:themeColor="text1"/>
          <w:sz w:val="24"/>
          <w:szCs w:val="24"/>
        </w:rPr>
        <w:t xml:space="preserve">издание «Коммерсант» - </w:t>
      </w:r>
      <w:hyperlink r:id="rId102" w:history="1">
        <w:r w:rsidRPr="00063FDC">
          <w:rPr>
            <w:rStyle w:val="af4"/>
            <w:color w:val="000000" w:themeColor="text1"/>
            <w:sz w:val="24"/>
            <w:szCs w:val="24"/>
          </w:rPr>
          <w:t>https://bankruptcy.kommersant.ru</w:t>
        </w:r>
      </w:hyperlink>
    </w:p>
    <w:p w14:paraId="4CA08904"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063FDC" w:rsidRDefault="007558F7" w:rsidP="007558F7">
      <w:pPr>
        <w:pStyle w:val="a8"/>
        <w:spacing w:line="360" w:lineRule="auto"/>
        <w:ind w:left="1429"/>
        <w:jc w:val="both"/>
        <w:rPr>
          <w:color w:val="000000" w:themeColor="text1"/>
          <w:sz w:val="24"/>
          <w:szCs w:val="24"/>
        </w:rPr>
      </w:pPr>
    </w:p>
    <w:p w14:paraId="5315543D" w14:textId="77777777" w:rsidR="007558F7" w:rsidRPr="00063FDC" w:rsidRDefault="007558F7" w:rsidP="007558F7">
      <w:pPr>
        <w:spacing w:line="360" w:lineRule="auto"/>
        <w:rPr>
          <w:color w:val="000000" w:themeColor="text1"/>
          <w:sz w:val="24"/>
          <w:szCs w:val="24"/>
        </w:rPr>
      </w:pPr>
      <w:r w:rsidRPr="00063FDC">
        <w:rPr>
          <w:color w:val="000000" w:themeColor="text1"/>
          <w:sz w:val="24"/>
          <w:szCs w:val="24"/>
        </w:rPr>
        <w:br w:type="page"/>
      </w:r>
    </w:p>
    <w:p w14:paraId="744D8405" w14:textId="43462EF0"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t>Приложение Б к Приложению 10</w:t>
      </w:r>
      <w:r w:rsidR="007558F7" w:rsidRPr="00063FDC">
        <w:rPr>
          <w:b/>
          <w:color w:val="000000" w:themeColor="text1"/>
          <w:sz w:val="24"/>
          <w:szCs w:val="24"/>
        </w:rPr>
        <w:t>.</w:t>
      </w:r>
    </w:p>
    <w:p w14:paraId="5CCEA82E" w14:textId="77777777" w:rsidR="007558F7" w:rsidRPr="00063FDC" w:rsidRDefault="007558F7" w:rsidP="007558F7">
      <w:pPr>
        <w:pStyle w:val="a8"/>
        <w:spacing w:line="360" w:lineRule="auto"/>
        <w:ind w:left="0"/>
        <w:jc w:val="center"/>
        <w:rPr>
          <w:b/>
          <w:color w:val="000000" w:themeColor="text1"/>
          <w:sz w:val="24"/>
          <w:szCs w:val="24"/>
        </w:rPr>
      </w:pPr>
    </w:p>
    <w:p w14:paraId="7F16C9FE"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 xml:space="preserve">Список банков, используемых для учета страховки при расчете </w:t>
      </w:r>
      <w:r w:rsidRPr="00063FDC">
        <w:rPr>
          <w:b/>
          <w:color w:val="000000" w:themeColor="text1"/>
          <w:sz w:val="24"/>
          <w:szCs w:val="24"/>
          <w:lang w:val="en-US"/>
        </w:rPr>
        <w:t>LGD</w:t>
      </w:r>
    </w:p>
    <w:p w14:paraId="28501AF3" w14:textId="77777777" w:rsidR="007558F7" w:rsidRPr="00063FDC" w:rsidRDefault="007558F7" w:rsidP="007558F7">
      <w:pPr>
        <w:pStyle w:val="a8"/>
        <w:tabs>
          <w:tab w:val="left" w:pos="6436"/>
        </w:tabs>
        <w:spacing w:line="360" w:lineRule="auto"/>
        <w:ind w:left="0" w:firstLine="709"/>
        <w:rPr>
          <w:color w:val="000000" w:themeColor="text1"/>
          <w:sz w:val="24"/>
          <w:szCs w:val="24"/>
        </w:rPr>
      </w:pPr>
      <w:r w:rsidRPr="00063FDC">
        <w:rPr>
          <w:color w:val="000000" w:themeColor="text1"/>
          <w:sz w:val="24"/>
          <w:szCs w:val="24"/>
        </w:rPr>
        <w:tab/>
      </w:r>
    </w:p>
    <w:p w14:paraId="2426918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Тинькофф</w:t>
      </w:r>
    </w:p>
    <w:p w14:paraId="76AAADA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Русский Стандарт </w:t>
      </w:r>
    </w:p>
    <w:p w14:paraId="0CD5D5CA"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ХоумКредит</w:t>
      </w:r>
    </w:p>
    <w:p w14:paraId="02775751"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Локобанк</w:t>
      </w:r>
    </w:p>
    <w:p w14:paraId="375D62F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ОТП-банк</w:t>
      </w:r>
    </w:p>
    <w:p w14:paraId="14AB7655"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Ренессанс-кредит</w:t>
      </w:r>
    </w:p>
    <w:p w14:paraId="10E74D02"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МТС-банк</w:t>
      </w:r>
    </w:p>
    <w:p w14:paraId="14820D10"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Кредит-Европа банк</w:t>
      </w:r>
    </w:p>
    <w:p w14:paraId="5C3BCF4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Сбербанк, </w:t>
      </w:r>
    </w:p>
    <w:p w14:paraId="7D8C37B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ВТБ, </w:t>
      </w:r>
    </w:p>
    <w:p w14:paraId="0742BF5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Райффайзенбанк, </w:t>
      </w:r>
    </w:p>
    <w:p w14:paraId="26B39F03"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Открытие, </w:t>
      </w:r>
    </w:p>
    <w:p w14:paraId="53E7FC3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Газпромбанк, </w:t>
      </w:r>
    </w:p>
    <w:p w14:paraId="05C3F126"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Банк ДОМ.РФ</w:t>
      </w:r>
    </w:p>
    <w:p w14:paraId="4906FB7F"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br w:type="page"/>
      </w:r>
    </w:p>
    <w:p w14:paraId="2BEB15EC" w14:textId="30B99808"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t>Приложение В к Приложению 10</w:t>
      </w:r>
      <w:r w:rsidR="007558F7" w:rsidRPr="00063FDC">
        <w:rPr>
          <w:b/>
          <w:color w:val="000000" w:themeColor="text1"/>
          <w:sz w:val="24"/>
          <w:szCs w:val="24"/>
        </w:rPr>
        <w:t>.</w:t>
      </w:r>
    </w:p>
    <w:p w14:paraId="74B4CFF4" w14:textId="77777777" w:rsidR="007558F7" w:rsidRPr="00063FDC" w:rsidRDefault="007558F7" w:rsidP="007558F7">
      <w:pPr>
        <w:spacing w:line="360" w:lineRule="auto"/>
        <w:ind w:firstLine="709"/>
        <w:jc w:val="center"/>
        <w:rPr>
          <w:b/>
          <w:color w:val="000000" w:themeColor="text1"/>
          <w:sz w:val="24"/>
          <w:szCs w:val="24"/>
        </w:rPr>
      </w:pPr>
      <w:r w:rsidRPr="00063FDC">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Порядок определения соответствия уровню рейтинга на дату оценки:</w:t>
      </w:r>
    </w:p>
    <w:p w14:paraId="66C28DF0"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063FDC">
        <w:rPr>
          <w:rStyle w:val="afa"/>
          <w:color w:val="000000" w:themeColor="text1"/>
          <w:sz w:val="24"/>
          <w:szCs w:val="24"/>
        </w:rPr>
        <w:footnoteReference w:id="34"/>
      </w:r>
      <w:r w:rsidRPr="00063FDC">
        <w:rPr>
          <w:color w:val="000000" w:themeColor="text1"/>
          <w:sz w:val="24"/>
          <w:szCs w:val="24"/>
        </w:rPr>
        <w:t xml:space="preserve"> кредитный спрэд облигаций с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в сравнении с кредитным спрэдом указанных ниже индексов. Кредитный спрэд рассчитывается</w:t>
      </w:r>
      <w:r w:rsidRPr="00063FDC">
        <w:rPr>
          <w:rStyle w:val="afa"/>
          <w:color w:val="000000" w:themeColor="text1"/>
          <w:sz w:val="24"/>
          <w:szCs w:val="24"/>
        </w:rPr>
        <w:footnoteReference w:id="35"/>
      </w:r>
      <w:r w:rsidRPr="00063FDC">
        <w:rPr>
          <w:color w:val="000000" w:themeColor="text1"/>
          <w:sz w:val="24"/>
          <w:szCs w:val="24"/>
        </w:rPr>
        <w:t xml:space="preserve"> как разница между доходностью к погашению облигации на срок ее дюрации и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на этот срок. В указанных целях используются следующие индексы:</w:t>
      </w:r>
    </w:p>
    <w:p w14:paraId="4301EE2A"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рейтинг ≥ BBB-)</w:t>
      </w:r>
    </w:p>
    <w:p w14:paraId="3C1AAB0F"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RUCBITRBBB3Y</w:t>
      </w:r>
    </w:p>
    <w:p w14:paraId="6621243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3" w:history="1">
        <w:r w:rsidRPr="00063FDC">
          <w:rPr>
            <w:rStyle w:val="af4"/>
            <w:color w:val="000000" w:themeColor="text1"/>
            <w:sz w:val="24"/>
            <w:szCs w:val="24"/>
          </w:rPr>
          <w:t>https://www.moex.com/ru/index/RUCBITRBBB3Y</w:t>
        </w:r>
      </w:hyperlink>
      <w:r w:rsidRPr="00063FDC">
        <w:rPr>
          <w:color w:val="000000" w:themeColor="text1"/>
          <w:sz w:val="24"/>
          <w:szCs w:val="24"/>
        </w:rPr>
        <w:t>.</w:t>
      </w:r>
    </w:p>
    <w:p w14:paraId="2076E33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4" w:history="1">
        <w:r w:rsidRPr="00063FDC">
          <w:rPr>
            <w:rStyle w:val="af4"/>
            <w:color w:val="000000" w:themeColor="text1"/>
            <w:sz w:val="24"/>
            <w:szCs w:val="24"/>
          </w:rPr>
          <w:t>http://moex.com/ru/index/RUCBITRBBB3Y/archive</w:t>
        </w:r>
      </w:hyperlink>
    </w:p>
    <w:p w14:paraId="0BF78648"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BB- ≤ рейтинг &lt; BBB-)</w:t>
      </w:r>
    </w:p>
    <w:p w14:paraId="31E72EB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RUCBITRBB3Y</w:t>
      </w:r>
    </w:p>
    <w:p w14:paraId="0CF79239"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5" w:history="1">
        <w:r w:rsidRPr="00063FDC">
          <w:rPr>
            <w:rStyle w:val="af4"/>
            <w:color w:val="000000" w:themeColor="text1"/>
            <w:sz w:val="24"/>
            <w:szCs w:val="24"/>
          </w:rPr>
          <w:t>https://www.moex.com/ru/index/RUCBITRBB3Y</w:t>
        </w:r>
      </w:hyperlink>
    </w:p>
    <w:p w14:paraId="10B15E9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6" w:history="1">
        <w:r w:rsidRPr="00063FDC">
          <w:rPr>
            <w:rStyle w:val="af4"/>
            <w:color w:val="000000" w:themeColor="text1"/>
            <w:sz w:val="24"/>
            <w:szCs w:val="24"/>
          </w:rPr>
          <w:t>http://moex.com/ru/index/RUCBITRBB3Y/archive</w:t>
        </w:r>
      </w:hyperlink>
    </w:p>
    <w:p w14:paraId="7F867E13"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Индекс корпоративных облигаций (1-3 года, B- ≤ рейтинг &lt; BB-) </w:t>
      </w:r>
    </w:p>
    <w:p w14:paraId="659F9A1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RUCBITRB3Y</w:t>
      </w:r>
    </w:p>
    <w:p w14:paraId="36E7092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Описание индекса </w:t>
      </w:r>
      <w:hyperlink r:id="rId107" w:history="1">
        <w:r w:rsidRPr="00063FDC">
          <w:rPr>
            <w:rStyle w:val="af4"/>
            <w:color w:val="000000" w:themeColor="text1"/>
            <w:sz w:val="24"/>
            <w:szCs w:val="24"/>
          </w:rPr>
          <w:t>https://www.moex.com/ru/index/RUCBITRB3Y</w:t>
        </w:r>
      </w:hyperlink>
    </w:p>
    <w:p w14:paraId="5856B166"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8" w:history="1">
        <w:r w:rsidRPr="00063FDC">
          <w:rPr>
            <w:rStyle w:val="af4"/>
            <w:color w:val="000000" w:themeColor="text1"/>
            <w:sz w:val="24"/>
            <w:szCs w:val="24"/>
          </w:rPr>
          <w:t>http://moex.com/ru/index/RUCBITRB3Y/archive/</w:t>
        </w:r>
      </w:hyperlink>
    </w:p>
    <w:p w14:paraId="10E0718C"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063FDC" w14:paraId="40483789"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Индекс</w:t>
            </w:r>
          </w:p>
        </w:tc>
      </w:tr>
      <w:tr w:rsidR="007558F7" w:rsidRPr="00063FDC" w14:paraId="5E698901"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063FDC" w:rsidRDefault="007558F7" w:rsidP="00AF784E">
            <w:pPr>
              <w:spacing w:line="360" w:lineRule="auto"/>
              <w:rPr>
                <w:b/>
                <w:bCs/>
                <w:color w:val="000000" w:themeColor="text1"/>
                <w:sz w:val="24"/>
                <w:szCs w:val="24"/>
              </w:rPr>
            </w:pPr>
          </w:p>
        </w:tc>
      </w:tr>
      <w:tr w:rsidR="007558F7" w:rsidRPr="00063FDC" w14:paraId="7A9F81F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RUCBITRBBB3Y</w:t>
            </w:r>
          </w:p>
        </w:tc>
      </w:tr>
      <w:tr w:rsidR="007558F7" w:rsidRPr="00063FDC" w14:paraId="04B4C670"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063FDC" w:rsidRDefault="007558F7" w:rsidP="00AF784E">
            <w:pPr>
              <w:spacing w:line="360" w:lineRule="auto"/>
              <w:rPr>
                <w:b/>
                <w:bCs/>
                <w:color w:val="000000" w:themeColor="text1"/>
                <w:sz w:val="24"/>
                <w:szCs w:val="24"/>
              </w:rPr>
            </w:pPr>
          </w:p>
        </w:tc>
      </w:tr>
      <w:tr w:rsidR="007558F7" w:rsidRPr="00063FDC" w14:paraId="69DB7C72"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063FDC" w:rsidRDefault="007558F7" w:rsidP="00AF784E">
            <w:pPr>
              <w:spacing w:line="360" w:lineRule="auto"/>
              <w:rPr>
                <w:b/>
                <w:bCs/>
                <w:color w:val="000000" w:themeColor="text1"/>
                <w:sz w:val="24"/>
                <w:szCs w:val="24"/>
              </w:rPr>
            </w:pPr>
          </w:p>
        </w:tc>
      </w:tr>
      <w:tr w:rsidR="007558F7" w:rsidRPr="00063FDC" w14:paraId="34448FD8"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RUCBITRBB3Y</w:t>
            </w:r>
          </w:p>
        </w:tc>
      </w:tr>
      <w:tr w:rsidR="007558F7" w:rsidRPr="00063FDC" w14:paraId="6FFD2B7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063FDC" w:rsidRDefault="007558F7" w:rsidP="00AF784E">
            <w:pPr>
              <w:spacing w:line="360" w:lineRule="auto"/>
              <w:rPr>
                <w:b/>
                <w:bCs/>
                <w:color w:val="000000" w:themeColor="text1"/>
                <w:sz w:val="24"/>
                <w:szCs w:val="24"/>
              </w:rPr>
            </w:pPr>
          </w:p>
        </w:tc>
      </w:tr>
      <w:tr w:rsidR="007558F7" w:rsidRPr="00063FDC" w14:paraId="4BEC7AB5"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063FDC" w:rsidRDefault="007558F7" w:rsidP="00AF784E">
            <w:pPr>
              <w:spacing w:line="360" w:lineRule="auto"/>
              <w:rPr>
                <w:b/>
                <w:bCs/>
                <w:color w:val="000000" w:themeColor="text1"/>
                <w:sz w:val="24"/>
                <w:szCs w:val="24"/>
              </w:rPr>
            </w:pPr>
          </w:p>
        </w:tc>
      </w:tr>
      <w:tr w:rsidR="007558F7" w:rsidRPr="00063FDC" w14:paraId="5E2B00F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RUCBITRB3Y</w:t>
            </w:r>
          </w:p>
        </w:tc>
      </w:tr>
      <w:tr w:rsidR="007558F7" w:rsidRPr="00063FDC" w14:paraId="66DCA283"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063FDC" w:rsidRDefault="007558F7" w:rsidP="00AF784E">
            <w:pPr>
              <w:spacing w:line="360" w:lineRule="auto"/>
              <w:rPr>
                <w:b/>
                <w:bCs/>
                <w:color w:val="000000" w:themeColor="text1"/>
                <w:sz w:val="24"/>
                <w:szCs w:val="24"/>
              </w:rPr>
            </w:pPr>
          </w:p>
        </w:tc>
      </w:tr>
      <w:tr w:rsidR="007558F7" w:rsidRPr="00063FDC" w14:paraId="25CD747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063FDC" w:rsidRDefault="007558F7" w:rsidP="00AF784E">
            <w:pPr>
              <w:spacing w:line="360" w:lineRule="auto"/>
              <w:rPr>
                <w:b/>
                <w:bCs/>
                <w:color w:val="000000" w:themeColor="text1"/>
                <w:sz w:val="24"/>
                <w:szCs w:val="24"/>
              </w:rPr>
            </w:pPr>
          </w:p>
        </w:tc>
      </w:tr>
    </w:tbl>
    <w:p w14:paraId="207F22FF" w14:textId="27A07C48" w:rsidR="007558F7" w:rsidRPr="00063FDC" w:rsidRDefault="007558F7" w:rsidP="00070424">
      <w:pPr>
        <w:spacing w:line="360" w:lineRule="auto"/>
        <w:jc w:val="both"/>
        <w:rPr>
          <w:color w:val="000000" w:themeColor="text1"/>
          <w:sz w:val="24"/>
          <w:szCs w:val="24"/>
        </w:rPr>
      </w:pPr>
    </w:p>
    <w:p w14:paraId="486E4F0D"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Из группы рейтингов, выбирается </w:t>
      </w:r>
      <w:r w:rsidRPr="00063FDC">
        <w:rPr>
          <w:color w:val="000000" w:themeColor="text1"/>
          <w:sz w:val="24"/>
          <w:szCs w:val="24"/>
          <w:lang w:val="en-US"/>
        </w:rPr>
        <w:t>PD</w:t>
      </w:r>
      <w:r w:rsidRPr="00063FDC">
        <w:rPr>
          <w:color w:val="000000" w:themeColor="text1"/>
          <w:sz w:val="24"/>
          <w:szCs w:val="24"/>
        </w:rPr>
        <w:t xml:space="preserve"> для среднего значения рейтинга группы (</w:t>
      </w:r>
      <w:r w:rsidRPr="00063FDC">
        <w:rPr>
          <w:color w:val="000000" w:themeColor="text1"/>
          <w:sz w:val="24"/>
          <w:szCs w:val="24"/>
          <w:lang w:val="en-US"/>
        </w:rPr>
        <w:t>Baa</w:t>
      </w:r>
      <w:r w:rsidRPr="00063FDC">
        <w:rPr>
          <w:color w:val="000000" w:themeColor="text1"/>
          <w:sz w:val="24"/>
          <w:szCs w:val="24"/>
        </w:rPr>
        <w:t xml:space="preserve">2, </w:t>
      </w:r>
      <w:r w:rsidRPr="00063FDC">
        <w:rPr>
          <w:color w:val="000000" w:themeColor="text1"/>
          <w:sz w:val="24"/>
          <w:szCs w:val="24"/>
          <w:lang w:val="en-US"/>
        </w:rPr>
        <w:t>Ba</w:t>
      </w:r>
      <w:r w:rsidRPr="00063FDC">
        <w:rPr>
          <w:color w:val="000000" w:themeColor="text1"/>
          <w:sz w:val="24"/>
          <w:szCs w:val="24"/>
        </w:rPr>
        <w:t xml:space="preserve">2, </w:t>
      </w:r>
      <w:r w:rsidRPr="00063FDC">
        <w:rPr>
          <w:color w:val="000000" w:themeColor="text1"/>
          <w:sz w:val="24"/>
          <w:szCs w:val="24"/>
          <w:lang w:val="en-US"/>
        </w:rPr>
        <w:t>B</w:t>
      </w:r>
      <w:r w:rsidRPr="00063FDC">
        <w:rPr>
          <w:color w:val="000000" w:themeColor="text1"/>
          <w:sz w:val="24"/>
          <w:szCs w:val="24"/>
        </w:rPr>
        <w:t>2).</w:t>
      </w:r>
    </w:p>
    <w:p w14:paraId="637CD4AE" w14:textId="77777777" w:rsidR="007558F7" w:rsidRPr="00063FDC" w:rsidRDefault="007558F7" w:rsidP="007558F7">
      <w:pPr>
        <w:pStyle w:val="12"/>
        <w:tabs>
          <w:tab w:val="left" w:pos="993"/>
        </w:tabs>
        <w:spacing w:line="360" w:lineRule="auto"/>
        <w:ind w:left="0" w:firstLine="992"/>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063FDC" w:rsidRDefault="007558F7" w:rsidP="007558F7">
      <w:pPr>
        <w:pStyle w:val="a8"/>
        <w:spacing w:line="360" w:lineRule="auto"/>
        <w:jc w:val="right"/>
        <w:rPr>
          <w:color w:val="000000" w:themeColor="text1"/>
          <w:sz w:val="24"/>
          <w:szCs w:val="24"/>
        </w:rPr>
      </w:pPr>
    </w:p>
    <w:p w14:paraId="319C6940"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87E7831" w14:textId="7B92D6D9" w:rsidR="007558F7" w:rsidRPr="00063FDC" w:rsidRDefault="00190E33" w:rsidP="007558F7">
      <w:pPr>
        <w:pStyle w:val="a8"/>
        <w:spacing w:line="360" w:lineRule="auto"/>
        <w:jc w:val="right"/>
        <w:rPr>
          <w:b/>
          <w:color w:val="000000" w:themeColor="text1"/>
          <w:sz w:val="24"/>
          <w:szCs w:val="24"/>
        </w:rPr>
      </w:pPr>
      <w:r w:rsidRPr="00063FDC">
        <w:rPr>
          <w:b/>
          <w:color w:val="000000" w:themeColor="text1"/>
          <w:sz w:val="24"/>
          <w:szCs w:val="24"/>
        </w:rPr>
        <w:t>Приложение Г к Приложению 10</w:t>
      </w:r>
      <w:r w:rsidR="007558F7" w:rsidRPr="00063FDC">
        <w:rPr>
          <w:b/>
          <w:color w:val="000000" w:themeColor="text1"/>
          <w:sz w:val="24"/>
          <w:szCs w:val="24"/>
        </w:rPr>
        <w:t>.</w:t>
      </w:r>
    </w:p>
    <w:p w14:paraId="06D5D5A2"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Вероятности дефолта для организаций МСБ</w:t>
      </w:r>
    </w:p>
    <w:p w14:paraId="5471558F"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063FDC" w14:paraId="22BDE2F1" w14:textId="77777777" w:rsidTr="00AF784E">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lang w:val="en-US"/>
              </w:rPr>
              <w:t>PD</w:t>
            </w:r>
          </w:p>
        </w:tc>
      </w:tr>
      <w:tr w:rsidR="007558F7" w:rsidRPr="00063FDC" w14:paraId="4D47CD30" w14:textId="77777777" w:rsidTr="00AF784E">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w:t>
            </w:r>
          </w:p>
        </w:tc>
      </w:tr>
      <w:tr w:rsidR="007558F7" w:rsidRPr="00063FDC" w14:paraId="18A015F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13</w:t>
            </w:r>
            <w:r w:rsidRPr="00063FDC">
              <w:rPr>
                <w:color w:val="000000" w:themeColor="text1"/>
                <w:sz w:val="24"/>
                <w:szCs w:val="24"/>
                <w:lang w:val="en-US"/>
              </w:rPr>
              <w:t xml:space="preserve">, </w:t>
            </w:r>
            <w:r w:rsidRPr="00063FDC">
              <w:rPr>
                <w:color w:val="000000" w:themeColor="text1"/>
                <w:sz w:val="24"/>
                <w:szCs w:val="24"/>
              </w:rPr>
              <w:t>24</w:t>
            </w:r>
            <w:r w:rsidRPr="00063FDC">
              <w:rPr>
                <w:color w:val="000000" w:themeColor="text1"/>
                <w:sz w:val="24"/>
                <w:szCs w:val="24"/>
                <w:lang w:val="en-US"/>
              </w:rPr>
              <w:t xml:space="preserve">, </w:t>
            </w:r>
            <w:r w:rsidRPr="00063FDC">
              <w:rPr>
                <w:color w:val="000000" w:themeColor="text1"/>
                <w:sz w:val="24"/>
                <w:szCs w:val="24"/>
              </w:rPr>
              <w:t>27</w:t>
            </w:r>
            <w:r w:rsidRPr="00063FDC">
              <w:rPr>
                <w:color w:val="000000" w:themeColor="text1"/>
                <w:sz w:val="24"/>
                <w:szCs w:val="24"/>
                <w:lang w:val="en-US"/>
              </w:rPr>
              <w:t xml:space="preserve">, </w:t>
            </w:r>
            <w:r w:rsidRPr="00063FDC">
              <w:rPr>
                <w:color w:val="000000" w:themeColor="text1"/>
                <w:sz w:val="24"/>
                <w:szCs w:val="24"/>
              </w:rPr>
              <w:t>42</w:t>
            </w:r>
            <w:r w:rsidRPr="00063FDC">
              <w:rPr>
                <w:color w:val="000000" w:themeColor="text1"/>
                <w:sz w:val="24"/>
                <w:szCs w:val="24"/>
                <w:lang w:val="en-US"/>
              </w:rPr>
              <w:t xml:space="preserve">, </w:t>
            </w:r>
            <w:r w:rsidRPr="00063FDC">
              <w:rPr>
                <w:color w:val="000000" w:themeColor="text1"/>
                <w:sz w:val="24"/>
                <w:szCs w:val="24"/>
              </w:rPr>
              <w:t>45</w:t>
            </w:r>
            <w:r w:rsidRPr="00063FDC">
              <w:rPr>
                <w:color w:val="000000" w:themeColor="text1"/>
                <w:sz w:val="24"/>
                <w:szCs w:val="24"/>
                <w:lang w:val="en-US"/>
              </w:rPr>
              <w:t xml:space="preserve">, </w:t>
            </w:r>
            <w:r w:rsidRPr="00063FDC">
              <w:rPr>
                <w:color w:val="000000" w:themeColor="text1"/>
                <w:sz w:val="24"/>
                <w:szCs w:val="24"/>
              </w:rPr>
              <w:t>46</w:t>
            </w:r>
            <w:r w:rsidRPr="00063FDC">
              <w:rPr>
                <w:color w:val="000000" w:themeColor="text1"/>
                <w:sz w:val="24"/>
                <w:szCs w:val="24"/>
                <w:lang w:val="en-US"/>
              </w:rPr>
              <w:t xml:space="preserve">, </w:t>
            </w:r>
            <w:r w:rsidRPr="00063FDC">
              <w:rPr>
                <w:color w:val="000000" w:themeColor="text1"/>
                <w:sz w:val="24"/>
                <w:szCs w:val="24"/>
              </w:rPr>
              <w:t>52</w:t>
            </w:r>
            <w:r w:rsidRPr="00063FDC">
              <w:rPr>
                <w:color w:val="000000" w:themeColor="text1"/>
                <w:sz w:val="24"/>
                <w:szCs w:val="24"/>
                <w:lang w:val="en-US"/>
              </w:rPr>
              <w:t xml:space="preserve">, </w:t>
            </w:r>
            <w:r w:rsidRPr="00063FDC">
              <w:rPr>
                <w:color w:val="000000" w:themeColor="text1"/>
                <w:sz w:val="24"/>
                <w:szCs w:val="24"/>
              </w:rPr>
              <w:t>59</w:t>
            </w:r>
            <w:r w:rsidRPr="00063FDC">
              <w:rPr>
                <w:color w:val="000000" w:themeColor="text1"/>
                <w:sz w:val="24"/>
                <w:szCs w:val="24"/>
                <w:lang w:val="en-US"/>
              </w:rPr>
              <w:t xml:space="preserve">, </w:t>
            </w:r>
            <w:r w:rsidRPr="00063FDC">
              <w:rPr>
                <w:color w:val="000000" w:themeColor="text1"/>
                <w:sz w:val="24"/>
                <w:szCs w:val="24"/>
              </w:rPr>
              <w:t>69</w:t>
            </w:r>
            <w:r w:rsidRPr="00063FDC">
              <w:rPr>
                <w:color w:val="000000" w:themeColor="text1"/>
                <w:sz w:val="24"/>
                <w:szCs w:val="24"/>
                <w:lang w:val="en-US"/>
              </w:rPr>
              <w:t xml:space="preserve">, </w:t>
            </w:r>
            <w:r w:rsidRPr="00063FDC">
              <w:rPr>
                <w:color w:val="000000" w:themeColor="text1"/>
                <w:sz w:val="24"/>
                <w:szCs w:val="24"/>
              </w:rPr>
              <w:t>71</w:t>
            </w:r>
            <w:r w:rsidRPr="00063FDC">
              <w:rPr>
                <w:color w:val="000000" w:themeColor="text1"/>
                <w:sz w:val="24"/>
                <w:szCs w:val="24"/>
                <w:lang w:val="en-US"/>
              </w:rPr>
              <w:t xml:space="preserve">, </w:t>
            </w:r>
            <w:r w:rsidRPr="00063FDC">
              <w:rPr>
                <w:color w:val="000000" w:themeColor="text1"/>
                <w:sz w:val="24"/>
                <w:szCs w:val="24"/>
              </w:rPr>
              <w:t>79</w:t>
            </w:r>
            <w:r w:rsidRPr="00063FDC">
              <w:rPr>
                <w:color w:val="000000" w:themeColor="text1"/>
                <w:sz w:val="24"/>
                <w:szCs w:val="24"/>
                <w:lang w:val="en-US"/>
              </w:rPr>
              <w:t xml:space="preserve">, </w:t>
            </w:r>
            <w:r w:rsidRPr="00063FDC">
              <w:rPr>
                <w:color w:val="000000" w:themeColor="text1"/>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w:t>
            </w:r>
          </w:p>
        </w:tc>
      </w:tr>
      <w:tr w:rsidR="007558F7" w:rsidRPr="00063FDC" w14:paraId="2671883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2</w:t>
            </w:r>
            <w:r w:rsidRPr="00063FDC">
              <w:rPr>
                <w:color w:val="000000" w:themeColor="text1"/>
                <w:sz w:val="24"/>
                <w:szCs w:val="24"/>
                <w:lang w:val="en-US"/>
              </w:rPr>
              <w:t xml:space="preserve">, </w:t>
            </w:r>
            <w:r w:rsidRPr="00063FDC">
              <w:rPr>
                <w:color w:val="000000" w:themeColor="text1"/>
                <w:sz w:val="24"/>
                <w:szCs w:val="24"/>
              </w:rPr>
              <w:t>3</w:t>
            </w:r>
            <w:r w:rsidRPr="00063FDC">
              <w:rPr>
                <w:color w:val="000000" w:themeColor="text1"/>
                <w:sz w:val="24"/>
                <w:szCs w:val="24"/>
                <w:lang w:val="en-US"/>
              </w:rPr>
              <w:t xml:space="preserve">, </w:t>
            </w:r>
            <w:r w:rsidRPr="00063FDC">
              <w:rPr>
                <w:color w:val="000000" w:themeColor="text1"/>
                <w:sz w:val="24"/>
                <w:szCs w:val="24"/>
              </w:rPr>
              <w:t>8</w:t>
            </w:r>
            <w:r w:rsidRPr="00063FDC">
              <w:rPr>
                <w:color w:val="000000" w:themeColor="text1"/>
                <w:sz w:val="24"/>
                <w:szCs w:val="24"/>
                <w:lang w:val="en-US"/>
              </w:rPr>
              <w:t xml:space="preserve">, </w:t>
            </w:r>
            <w:r w:rsidRPr="00063FDC">
              <w:rPr>
                <w:color w:val="000000" w:themeColor="text1"/>
                <w:sz w:val="24"/>
                <w:szCs w:val="24"/>
              </w:rPr>
              <w:t>9</w:t>
            </w:r>
            <w:r w:rsidRPr="00063FDC">
              <w:rPr>
                <w:color w:val="000000" w:themeColor="text1"/>
                <w:sz w:val="24"/>
                <w:szCs w:val="24"/>
                <w:lang w:val="en-US"/>
              </w:rPr>
              <w:t xml:space="preserve">, </w:t>
            </w:r>
            <w:r w:rsidRPr="00063FDC">
              <w:rPr>
                <w:color w:val="000000" w:themeColor="text1"/>
                <w:sz w:val="24"/>
                <w:szCs w:val="24"/>
              </w:rPr>
              <w:t>10</w:t>
            </w:r>
            <w:r w:rsidRPr="00063FDC">
              <w:rPr>
                <w:color w:val="000000" w:themeColor="text1"/>
                <w:sz w:val="24"/>
                <w:szCs w:val="24"/>
                <w:lang w:val="en-US"/>
              </w:rPr>
              <w:t xml:space="preserve">, </w:t>
            </w:r>
            <w:r w:rsidRPr="00063FDC">
              <w:rPr>
                <w:color w:val="000000" w:themeColor="text1"/>
                <w:sz w:val="24"/>
                <w:szCs w:val="24"/>
              </w:rPr>
              <w:t>11</w:t>
            </w:r>
            <w:r w:rsidRPr="00063FDC">
              <w:rPr>
                <w:color w:val="000000" w:themeColor="text1"/>
                <w:sz w:val="24"/>
                <w:szCs w:val="24"/>
                <w:lang w:val="en-US"/>
              </w:rPr>
              <w:t xml:space="preserve">, </w:t>
            </w:r>
            <w:r w:rsidRPr="00063FDC">
              <w:rPr>
                <w:color w:val="000000" w:themeColor="text1"/>
                <w:sz w:val="24"/>
                <w:szCs w:val="24"/>
              </w:rPr>
              <w:t>15</w:t>
            </w:r>
            <w:r w:rsidRPr="00063FDC">
              <w:rPr>
                <w:color w:val="000000" w:themeColor="text1"/>
                <w:sz w:val="24"/>
                <w:szCs w:val="24"/>
                <w:lang w:val="en-US"/>
              </w:rPr>
              <w:t xml:space="preserve">, </w:t>
            </w:r>
            <w:r w:rsidRPr="00063FDC">
              <w:rPr>
                <w:color w:val="000000" w:themeColor="text1"/>
                <w:sz w:val="24"/>
                <w:szCs w:val="24"/>
              </w:rPr>
              <w:t>16</w:t>
            </w:r>
            <w:r w:rsidRPr="00063FDC">
              <w:rPr>
                <w:color w:val="000000" w:themeColor="text1"/>
                <w:sz w:val="24"/>
                <w:szCs w:val="24"/>
                <w:lang w:val="en-US"/>
              </w:rPr>
              <w:t xml:space="preserve">, </w:t>
            </w:r>
            <w:r w:rsidRPr="00063FDC">
              <w:rPr>
                <w:color w:val="000000" w:themeColor="text1"/>
                <w:sz w:val="24"/>
                <w:szCs w:val="24"/>
              </w:rPr>
              <w:t>17</w:t>
            </w:r>
            <w:r w:rsidRPr="00063FDC">
              <w:rPr>
                <w:color w:val="000000" w:themeColor="text1"/>
                <w:sz w:val="24"/>
                <w:szCs w:val="24"/>
                <w:lang w:val="en-US"/>
              </w:rPr>
              <w:t xml:space="preserve">, </w:t>
            </w:r>
            <w:r w:rsidRPr="00063FDC">
              <w:rPr>
                <w:color w:val="000000" w:themeColor="text1"/>
                <w:sz w:val="24"/>
                <w:szCs w:val="24"/>
              </w:rPr>
              <w:t>23</w:t>
            </w:r>
            <w:r w:rsidRPr="00063FDC">
              <w:rPr>
                <w:color w:val="000000" w:themeColor="text1"/>
                <w:sz w:val="24"/>
                <w:szCs w:val="24"/>
                <w:lang w:val="en-US"/>
              </w:rPr>
              <w:t xml:space="preserve">, </w:t>
            </w:r>
            <w:r w:rsidRPr="00063FDC">
              <w:rPr>
                <w:color w:val="000000" w:themeColor="text1"/>
                <w:sz w:val="24"/>
                <w:szCs w:val="24"/>
              </w:rPr>
              <w:t>31</w:t>
            </w:r>
            <w:r w:rsidRPr="00063FDC">
              <w:rPr>
                <w:color w:val="000000" w:themeColor="text1"/>
                <w:sz w:val="24"/>
                <w:szCs w:val="24"/>
                <w:lang w:val="en-US"/>
              </w:rPr>
              <w:t xml:space="preserve">, </w:t>
            </w:r>
            <w:r w:rsidRPr="00063FDC">
              <w:rPr>
                <w:color w:val="000000" w:themeColor="text1"/>
                <w:sz w:val="24"/>
                <w:szCs w:val="24"/>
              </w:rPr>
              <w:t>37</w:t>
            </w:r>
            <w:r w:rsidRPr="00063FDC">
              <w:rPr>
                <w:color w:val="000000" w:themeColor="text1"/>
                <w:sz w:val="24"/>
                <w:szCs w:val="24"/>
                <w:lang w:val="en-US"/>
              </w:rPr>
              <w:t xml:space="preserve">, </w:t>
            </w:r>
            <w:r w:rsidRPr="00063FDC">
              <w:rPr>
                <w:color w:val="000000" w:themeColor="text1"/>
                <w:sz w:val="24"/>
                <w:szCs w:val="24"/>
              </w:rPr>
              <w:t>41</w:t>
            </w:r>
            <w:r w:rsidRPr="00063FDC">
              <w:rPr>
                <w:color w:val="000000" w:themeColor="text1"/>
                <w:sz w:val="24"/>
                <w:szCs w:val="24"/>
                <w:lang w:val="en-US"/>
              </w:rPr>
              <w:t xml:space="preserve">, </w:t>
            </w:r>
            <w:r w:rsidRPr="00063FDC">
              <w:rPr>
                <w:color w:val="000000" w:themeColor="text1"/>
                <w:sz w:val="24"/>
                <w:szCs w:val="24"/>
              </w:rPr>
              <w:t>43</w:t>
            </w:r>
            <w:r w:rsidRPr="00063FDC">
              <w:rPr>
                <w:color w:val="000000" w:themeColor="text1"/>
                <w:sz w:val="24"/>
                <w:szCs w:val="24"/>
                <w:lang w:val="en-US"/>
              </w:rPr>
              <w:t xml:space="preserve">, </w:t>
            </w:r>
            <w:r w:rsidRPr="00063FDC">
              <w:rPr>
                <w:color w:val="000000" w:themeColor="text1"/>
                <w:sz w:val="24"/>
                <w:szCs w:val="24"/>
              </w:rPr>
              <w:t>47</w:t>
            </w:r>
            <w:r w:rsidRPr="00063FDC">
              <w:rPr>
                <w:color w:val="000000" w:themeColor="text1"/>
                <w:sz w:val="24"/>
                <w:szCs w:val="24"/>
                <w:lang w:val="en-US"/>
              </w:rPr>
              <w:t xml:space="preserve">, </w:t>
            </w:r>
            <w:r w:rsidRPr="00063FDC">
              <w:rPr>
                <w:color w:val="000000" w:themeColor="text1"/>
                <w:sz w:val="24"/>
                <w:szCs w:val="24"/>
              </w:rPr>
              <w:t>49</w:t>
            </w:r>
            <w:r w:rsidRPr="00063FDC">
              <w:rPr>
                <w:color w:val="000000" w:themeColor="text1"/>
                <w:sz w:val="24"/>
                <w:szCs w:val="24"/>
                <w:lang w:val="en-US"/>
              </w:rPr>
              <w:t xml:space="preserve">, </w:t>
            </w:r>
            <w:r w:rsidRPr="00063FDC">
              <w:rPr>
                <w:color w:val="000000" w:themeColor="text1"/>
                <w:sz w:val="24"/>
                <w:szCs w:val="24"/>
              </w:rPr>
              <w:t>51</w:t>
            </w:r>
            <w:r w:rsidRPr="00063FDC">
              <w:rPr>
                <w:color w:val="000000" w:themeColor="text1"/>
                <w:sz w:val="24"/>
                <w:szCs w:val="24"/>
                <w:lang w:val="en-US"/>
              </w:rPr>
              <w:t xml:space="preserve">, </w:t>
            </w:r>
            <w:r w:rsidRPr="00063FDC">
              <w:rPr>
                <w:color w:val="000000" w:themeColor="text1"/>
                <w:sz w:val="24"/>
                <w:szCs w:val="24"/>
              </w:rPr>
              <w:t>53</w:t>
            </w:r>
            <w:r w:rsidRPr="00063FDC">
              <w:rPr>
                <w:color w:val="000000" w:themeColor="text1"/>
                <w:sz w:val="24"/>
                <w:szCs w:val="24"/>
                <w:lang w:val="en-US"/>
              </w:rPr>
              <w:t xml:space="preserve">, </w:t>
            </w:r>
            <w:r w:rsidRPr="00063FDC">
              <w:rPr>
                <w:color w:val="000000" w:themeColor="text1"/>
                <w:sz w:val="24"/>
                <w:szCs w:val="24"/>
              </w:rPr>
              <w:t>55</w:t>
            </w:r>
            <w:r w:rsidRPr="00063FDC">
              <w:rPr>
                <w:color w:val="000000" w:themeColor="text1"/>
                <w:sz w:val="24"/>
                <w:szCs w:val="24"/>
                <w:lang w:val="en-US"/>
              </w:rPr>
              <w:t xml:space="preserve">, </w:t>
            </w:r>
            <w:r w:rsidRPr="00063FDC">
              <w:rPr>
                <w:color w:val="000000" w:themeColor="text1"/>
                <w:sz w:val="24"/>
                <w:szCs w:val="24"/>
              </w:rPr>
              <w:t>56</w:t>
            </w:r>
            <w:r w:rsidRPr="00063FDC">
              <w:rPr>
                <w:color w:val="000000" w:themeColor="text1"/>
                <w:sz w:val="24"/>
                <w:szCs w:val="24"/>
                <w:lang w:val="en-US"/>
              </w:rPr>
              <w:t xml:space="preserve">, </w:t>
            </w:r>
            <w:r w:rsidRPr="00063FDC">
              <w:rPr>
                <w:color w:val="000000" w:themeColor="text1"/>
                <w:sz w:val="24"/>
                <w:szCs w:val="24"/>
              </w:rPr>
              <w:t>64</w:t>
            </w:r>
            <w:r w:rsidRPr="00063FDC">
              <w:rPr>
                <w:color w:val="000000" w:themeColor="text1"/>
                <w:sz w:val="24"/>
                <w:szCs w:val="24"/>
                <w:lang w:val="en-US"/>
              </w:rPr>
              <w:t xml:space="preserve">, </w:t>
            </w:r>
            <w:r w:rsidRPr="00063FDC">
              <w:rPr>
                <w:color w:val="000000" w:themeColor="text1"/>
                <w:sz w:val="24"/>
                <w:szCs w:val="24"/>
              </w:rPr>
              <w:t>65</w:t>
            </w:r>
            <w:r w:rsidRPr="00063FDC">
              <w:rPr>
                <w:color w:val="000000" w:themeColor="text1"/>
                <w:sz w:val="24"/>
                <w:szCs w:val="24"/>
                <w:lang w:val="en-US"/>
              </w:rPr>
              <w:t xml:space="preserve">, </w:t>
            </w:r>
            <w:r w:rsidRPr="00063FDC">
              <w:rPr>
                <w:color w:val="000000" w:themeColor="text1"/>
                <w:sz w:val="24"/>
                <w:szCs w:val="24"/>
              </w:rPr>
              <w:t>66</w:t>
            </w:r>
            <w:r w:rsidRPr="00063FDC">
              <w:rPr>
                <w:color w:val="000000" w:themeColor="text1"/>
                <w:sz w:val="24"/>
                <w:szCs w:val="24"/>
                <w:lang w:val="en-US"/>
              </w:rPr>
              <w:t xml:space="preserve">, </w:t>
            </w:r>
            <w:r w:rsidRPr="00063FDC">
              <w:rPr>
                <w:color w:val="000000" w:themeColor="text1"/>
                <w:sz w:val="24"/>
                <w:szCs w:val="24"/>
              </w:rPr>
              <w:t>70</w:t>
            </w:r>
            <w:r w:rsidRPr="00063FDC">
              <w:rPr>
                <w:color w:val="000000" w:themeColor="text1"/>
                <w:sz w:val="24"/>
                <w:szCs w:val="24"/>
                <w:lang w:val="en-US"/>
              </w:rPr>
              <w:t xml:space="preserve">, </w:t>
            </w:r>
            <w:r w:rsidRPr="00063FDC">
              <w:rPr>
                <w:color w:val="000000" w:themeColor="text1"/>
                <w:sz w:val="24"/>
                <w:szCs w:val="24"/>
              </w:rPr>
              <w:t>77</w:t>
            </w:r>
            <w:r w:rsidRPr="00063FDC">
              <w:rPr>
                <w:color w:val="000000" w:themeColor="text1"/>
                <w:sz w:val="24"/>
                <w:szCs w:val="24"/>
                <w:lang w:val="en-US"/>
              </w:rPr>
              <w:t xml:space="preserve">, </w:t>
            </w:r>
            <w:r w:rsidRPr="00063FDC">
              <w:rPr>
                <w:color w:val="000000" w:themeColor="text1"/>
                <w:sz w:val="24"/>
                <w:szCs w:val="24"/>
              </w:rPr>
              <w:t>78</w:t>
            </w:r>
            <w:r w:rsidRPr="00063FDC">
              <w:rPr>
                <w:color w:val="000000" w:themeColor="text1"/>
                <w:sz w:val="24"/>
                <w:szCs w:val="24"/>
                <w:lang w:val="en-US"/>
              </w:rPr>
              <w:t xml:space="preserve">, </w:t>
            </w:r>
            <w:r w:rsidRPr="00063FDC">
              <w:rPr>
                <w:color w:val="000000" w:themeColor="text1"/>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w:t>
            </w:r>
          </w:p>
        </w:tc>
      </w:tr>
    </w:tbl>
    <w:p w14:paraId="6C843A2A" w14:textId="77777777" w:rsidR="007558F7" w:rsidRPr="00063FDC" w:rsidRDefault="007558F7" w:rsidP="007558F7">
      <w:pPr>
        <w:pStyle w:val="a8"/>
        <w:spacing w:after="60" w:line="360" w:lineRule="auto"/>
        <w:ind w:left="1440"/>
        <w:rPr>
          <w:color w:val="000000" w:themeColor="text1"/>
          <w:sz w:val="24"/>
          <w:szCs w:val="24"/>
        </w:rPr>
      </w:pPr>
    </w:p>
    <w:p w14:paraId="27B84B54"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063FDC" w14:paraId="062FD7BB" w14:textId="77777777" w:rsidTr="00AF784E">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lang w:val="en-US"/>
              </w:rPr>
              <w:t>PD</w:t>
            </w:r>
          </w:p>
        </w:tc>
      </w:tr>
      <w:tr w:rsidR="007558F7" w:rsidRPr="00063FDC" w14:paraId="4C211056"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0,1503</w:t>
            </w:r>
          </w:p>
        </w:tc>
      </w:tr>
      <w:tr w:rsidR="007558F7" w:rsidRPr="00063FDC" w14:paraId="6EC8855A"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0,1049</w:t>
            </w:r>
          </w:p>
        </w:tc>
      </w:tr>
      <w:tr w:rsidR="007558F7" w:rsidRPr="00063FDC" w14:paraId="11A8B133"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0,0877</w:t>
            </w:r>
          </w:p>
        </w:tc>
      </w:tr>
      <w:tr w:rsidR="007558F7" w:rsidRPr="00063FDC" w14:paraId="66BF5300"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0,0762</w:t>
            </w:r>
          </w:p>
        </w:tc>
      </w:tr>
      <w:tr w:rsidR="007558F7" w:rsidRPr="00063FDC" w14:paraId="50756E42"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0,0615</w:t>
            </w:r>
          </w:p>
        </w:tc>
      </w:tr>
      <w:tr w:rsidR="007558F7" w:rsidRPr="00063FDC" w14:paraId="557A07BF"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0,078</w:t>
            </w:r>
          </w:p>
        </w:tc>
      </w:tr>
      <w:tr w:rsidR="007558F7" w:rsidRPr="00063FDC" w14:paraId="102BFD33"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0,0659</w:t>
            </w:r>
          </w:p>
        </w:tc>
      </w:tr>
      <w:tr w:rsidR="007558F7" w:rsidRPr="00063FDC" w14:paraId="632BB687"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0,0823</w:t>
            </w:r>
          </w:p>
        </w:tc>
      </w:tr>
      <w:tr w:rsidR="007558F7" w:rsidRPr="00063FDC" w14:paraId="70B497FD"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0,0591</w:t>
            </w:r>
          </w:p>
        </w:tc>
      </w:tr>
      <w:tr w:rsidR="007558F7" w:rsidRPr="00063FDC" w14:paraId="7448B0D1"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0,0671</w:t>
            </w:r>
          </w:p>
        </w:tc>
      </w:tr>
      <w:tr w:rsidR="007558F7" w:rsidRPr="00063FDC" w14:paraId="0A2BDD32"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0,0904</w:t>
            </w:r>
          </w:p>
        </w:tc>
      </w:tr>
    </w:tbl>
    <w:p w14:paraId="4FD16F40" w14:textId="77777777" w:rsidR="007558F7" w:rsidRPr="00063FDC" w:rsidRDefault="007558F7" w:rsidP="007558F7">
      <w:pPr>
        <w:spacing w:line="360" w:lineRule="auto"/>
        <w:jc w:val="right"/>
        <w:rPr>
          <w:b/>
          <w:color w:val="000000" w:themeColor="text1"/>
          <w:sz w:val="24"/>
          <w:szCs w:val="24"/>
        </w:rPr>
      </w:pPr>
    </w:p>
    <w:p w14:paraId="30A5CAE9" w14:textId="77777777" w:rsidR="007558F7" w:rsidRPr="00063FDC" w:rsidRDefault="007558F7" w:rsidP="007558F7">
      <w:pPr>
        <w:spacing w:line="360" w:lineRule="auto"/>
        <w:jc w:val="right"/>
        <w:rPr>
          <w:b/>
          <w:color w:val="000000" w:themeColor="text1"/>
          <w:sz w:val="24"/>
          <w:szCs w:val="24"/>
        </w:rPr>
      </w:pPr>
    </w:p>
    <w:p w14:paraId="63660C42"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CF121FB" w14:textId="38D54D70"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t>Приложение Д к Приложению 10</w:t>
      </w:r>
      <w:r w:rsidR="007558F7" w:rsidRPr="00063FDC">
        <w:rPr>
          <w:b/>
          <w:color w:val="000000" w:themeColor="text1"/>
          <w:sz w:val="24"/>
          <w:szCs w:val="24"/>
        </w:rPr>
        <w:t>.</w:t>
      </w:r>
    </w:p>
    <w:p w14:paraId="29B18A81" w14:textId="77777777" w:rsidR="007558F7" w:rsidRPr="00063FDC" w:rsidRDefault="007558F7" w:rsidP="007558F7">
      <w:pPr>
        <w:spacing w:line="360" w:lineRule="auto"/>
        <w:jc w:val="center"/>
        <w:rPr>
          <w:b/>
          <w:color w:val="000000" w:themeColor="text1"/>
          <w:sz w:val="24"/>
          <w:szCs w:val="24"/>
        </w:rPr>
      </w:pPr>
      <w:r w:rsidRPr="00063FDC">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063FDC" w14:paraId="37DB6B2B" w14:textId="77777777" w:rsidTr="00AF784E">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063FDC" w:rsidRDefault="007558F7" w:rsidP="00AF784E">
            <w:pPr>
              <w:spacing w:line="360" w:lineRule="auto"/>
              <w:ind w:left="360"/>
              <w:rPr>
                <w:b/>
                <w:bCs/>
                <w:color w:val="000000" w:themeColor="text1"/>
                <w:sz w:val="24"/>
                <w:szCs w:val="24"/>
              </w:rPr>
            </w:pPr>
            <w:r w:rsidRPr="00063FDC">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Fitch</w:t>
            </w:r>
          </w:p>
        </w:tc>
      </w:tr>
      <w:tr w:rsidR="007558F7" w:rsidRPr="00063FDC" w14:paraId="1DEA73E0" w14:textId="77777777" w:rsidTr="00AF784E">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063FDC" w:rsidRDefault="007558F7" w:rsidP="00AF784E">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063FDC" w:rsidRDefault="007558F7" w:rsidP="00AF784E">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r>
      <w:tr w:rsidR="007558F7" w:rsidRPr="00063FDC" w14:paraId="0EFCEB03"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r>
      <w:tr w:rsidR="007558F7" w:rsidRPr="00063FDC" w14:paraId="6811D18E"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02E30460"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6A8624A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5867490A"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6E20C64"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1BB3AD9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04C7AB2"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0BCA4775"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526EBD68" w14:textId="77777777" w:rsidTr="00AF784E">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r>
      <w:tr w:rsidR="007558F7" w:rsidRPr="00063FDC" w14:paraId="49165B66" w14:textId="77777777" w:rsidTr="00AF784E">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063FDC" w:rsidRDefault="007558F7" w:rsidP="00190E33">
            <w:pPr>
              <w:ind w:left="360"/>
              <w:rPr>
                <w:color w:val="000000" w:themeColor="text1"/>
                <w:sz w:val="24"/>
                <w:szCs w:val="24"/>
                <w:lang w:val="en-US"/>
              </w:rPr>
            </w:pPr>
            <w:r w:rsidRPr="00063FDC">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2F7EE74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063FDC" w:rsidRDefault="007558F7" w:rsidP="00190E33">
            <w:pPr>
              <w:ind w:left="360"/>
              <w:rPr>
                <w:color w:val="000000" w:themeColor="text1"/>
                <w:sz w:val="24"/>
                <w:szCs w:val="24"/>
              </w:rPr>
            </w:pPr>
            <w:r w:rsidRPr="00063FDC">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3A90244B" w14:textId="77777777" w:rsidTr="00AF784E">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063FDC" w:rsidRDefault="007558F7" w:rsidP="00190E33">
            <w:pPr>
              <w:jc w:val="center"/>
              <w:rPr>
                <w:color w:val="000000" w:themeColor="text1"/>
                <w:sz w:val="24"/>
                <w:szCs w:val="24"/>
              </w:rPr>
            </w:pPr>
            <w:r w:rsidRPr="00063FDC">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54D85875" w14:textId="77777777" w:rsidTr="00AF784E">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5AF51544" w14:textId="77777777" w:rsidTr="00AF784E">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2282F8B8" w14:textId="77777777" w:rsidTr="00AF784E">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r>
      <w:tr w:rsidR="007558F7" w:rsidRPr="00063FDC" w14:paraId="6F8AE0D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063FDC" w:rsidRDefault="007558F7" w:rsidP="00AF784E">
            <w:pPr>
              <w:spacing w:line="360" w:lineRule="auto"/>
              <w:jc w:val="center"/>
              <w:rPr>
                <w:color w:val="000000" w:themeColor="text1"/>
                <w:sz w:val="24"/>
                <w:szCs w:val="24"/>
                <w:lang w:val="en-US"/>
              </w:rPr>
            </w:pPr>
            <w:r w:rsidRPr="00063FDC">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r>
    </w:tbl>
    <w:p w14:paraId="0FDBC1FA" w14:textId="77777777" w:rsidR="00C53AAB" w:rsidRPr="00063FDC" w:rsidRDefault="00C53AAB" w:rsidP="00190E33">
      <w:pPr>
        <w:spacing w:before="120"/>
        <w:jc w:val="both"/>
        <w:rPr>
          <w:color w:val="000000" w:themeColor="text1"/>
          <w:sz w:val="24"/>
          <w:szCs w:val="24"/>
        </w:rPr>
        <w:sectPr w:rsidR="00C53AAB" w:rsidRPr="00063FDC" w:rsidSect="0006197A">
          <w:pgSz w:w="12240" w:h="15840"/>
          <w:pgMar w:top="1134" w:right="709" w:bottom="992" w:left="1701" w:header="720" w:footer="720" w:gutter="0"/>
          <w:cols w:space="720"/>
          <w:noEndnote/>
          <w:titlePg/>
          <w:docGrid w:linePitch="299"/>
        </w:sectPr>
      </w:pPr>
    </w:p>
    <w:p w14:paraId="15851BE8" w14:textId="28FBFCFE" w:rsidR="00062ED1" w:rsidRPr="00063FDC" w:rsidRDefault="00062ED1" w:rsidP="00C4184C">
      <w:pPr>
        <w:spacing w:line="360" w:lineRule="auto"/>
        <w:rPr>
          <w:color w:val="000000" w:themeColor="text1"/>
          <w:sz w:val="24"/>
          <w:szCs w:val="24"/>
        </w:rPr>
        <w:sectPr w:rsidR="00062ED1" w:rsidRPr="00063FDC" w:rsidSect="00190E33">
          <w:footerReference w:type="default" r:id="rId109"/>
          <w:type w:val="continuous"/>
          <w:pgSz w:w="12240" w:h="15840"/>
          <w:pgMar w:top="1134" w:right="851" w:bottom="1134" w:left="1276" w:header="720" w:footer="720" w:gutter="0"/>
          <w:cols w:space="720"/>
          <w:noEndnote/>
          <w:docGrid w:linePitch="299"/>
        </w:sectPr>
      </w:pPr>
    </w:p>
    <w:p w14:paraId="155D1ADE" w14:textId="6A140AEF" w:rsidR="00157CED" w:rsidRPr="00063FDC" w:rsidRDefault="00157CED" w:rsidP="00190E33">
      <w:pPr>
        <w:autoSpaceDN w:val="0"/>
        <w:adjustRightInd w:val="0"/>
        <w:spacing w:line="360" w:lineRule="auto"/>
        <w:jc w:val="right"/>
        <w:rPr>
          <w:b/>
          <w:color w:val="000000" w:themeColor="text1"/>
          <w:sz w:val="24"/>
          <w:szCs w:val="24"/>
          <w:lang w:eastAsia="ru-RU"/>
        </w:rPr>
      </w:pPr>
      <w:r w:rsidRPr="00063FDC">
        <w:rPr>
          <w:b/>
          <w:color w:val="000000" w:themeColor="text1"/>
          <w:sz w:val="24"/>
          <w:szCs w:val="24"/>
          <w:lang w:eastAsia="ru-RU"/>
        </w:rPr>
        <w:t>Приложение 1</w:t>
      </w:r>
      <w:r w:rsidR="00727465" w:rsidRPr="00063FDC">
        <w:rPr>
          <w:b/>
          <w:color w:val="000000" w:themeColor="text1"/>
          <w:sz w:val="24"/>
          <w:szCs w:val="24"/>
          <w:lang w:eastAsia="ru-RU"/>
        </w:rPr>
        <w:t>1</w:t>
      </w:r>
    </w:p>
    <w:p w14:paraId="2FDC7B82" w14:textId="77777777" w:rsidR="00157CED" w:rsidRPr="00063FDC" w:rsidRDefault="00157CED" w:rsidP="00157CED">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ПЕРЕЧЕНЬ АКТИВОВ, ПОДЛЕЖАЩИХ ОЦЕНКЕ ОЦЕНЩИКОМ</w:t>
      </w:r>
    </w:p>
    <w:p w14:paraId="387B014B" w14:textId="77777777" w:rsidR="00157CED" w:rsidRPr="00063FDC" w:rsidRDefault="00157CED" w:rsidP="00157CED">
      <w:pPr>
        <w:jc w:val="both"/>
        <w:rPr>
          <w:b/>
          <w:color w:val="000000" w:themeColor="text1"/>
          <w:sz w:val="24"/>
          <w:szCs w:val="24"/>
        </w:rPr>
      </w:pPr>
    </w:p>
    <w:p w14:paraId="61ED76A2" w14:textId="77777777" w:rsidR="00157CED" w:rsidRPr="00063FDC" w:rsidRDefault="00157CED" w:rsidP="00157CED">
      <w:pPr>
        <w:ind w:firstLine="708"/>
        <w:jc w:val="both"/>
        <w:rPr>
          <w:color w:val="000000" w:themeColor="text1"/>
          <w:sz w:val="24"/>
          <w:szCs w:val="24"/>
        </w:rPr>
      </w:pPr>
      <w:r w:rsidRPr="00063FDC">
        <w:rPr>
          <w:color w:val="000000" w:themeColor="text1"/>
          <w:sz w:val="24"/>
          <w:szCs w:val="24"/>
        </w:rPr>
        <w:t>На основании отчета оценщика оцениваются следующие активы:</w:t>
      </w:r>
    </w:p>
    <w:p w14:paraId="6DECFD44" w14:textId="77777777" w:rsidR="00157CED" w:rsidRPr="00063FDC" w:rsidRDefault="00157CED" w:rsidP="00157CED">
      <w:pPr>
        <w:ind w:left="993"/>
        <w:jc w:val="both"/>
        <w:rPr>
          <w:color w:val="000000" w:themeColor="text1"/>
          <w:sz w:val="24"/>
          <w:szCs w:val="24"/>
        </w:rPr>
      </w:pPr>
    </w:p>
    <w:tbl>
      <w:tblPr>
        <w:tblStyle w:val="ae"/>
        <w:tblW w:w="5000" w:type="pct"/>
        <w:tblLook w:val="04A0" w:firstRow="1" w:lastRow="0" w:firstColumn="1" w:lastColumn="0" w:noHBand="0" w:noVBand="1"/>
      </w:tblPr>
      <w:tblGrid>
        <w:gridCol w:w="9911"/>
      </w:tblGrid>
      <w:tr w:rsidR="00157CED" w:rsidRPr="00063FDC" w14:paraId="68C656FF" w14:textId="77777777" w:rsidTr="00EA0790">
        <w:trPr>
          <w:trHeight w:val="242"/>
        </w:trPr>
        <w:tc>
          <w:tcPr>
            <w:tcW w:w="5000" w:type="pct"/>
            <w:shd w:val="clear" w:color="auto" w:fill="A6A6A6" w:themeFill="background1" w:themeFillShade="A6"/>
          </w:tcPr>
          <w:p w14:paraId="37BD006E" w14:textId="77777777" w:rsidR="00157CED" w:rsidRPr="00063FDC" w:rsidRDefault="00157CED" w:rsidP="00EA0790">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Описание</w:t>
            </w:r>
          </w:p>
        </w:tc>
      </w:tr>
      <w:tr w:rsidR="00157CED" w:rsidRPr="00063FDC" w14:paraId="703FE214" w14:textId="77777777" w:rsidTr="00EA0790">
        <w:tc>
          <w:tcPr>
            <w:tcW w:w="5000" w:type="pct"/>
            <w:vAlign w:val="center"/>
          </w:tcPr>
          <w:p w14:paraId="1C046914" w14:textId="11858429"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Недвижимое имущество</w:t>
            </w:r>
          </w:p>
        </w:tc>
      </w:tr>
      <w:tr w:rsidR="00157CED" w:rsidRPr="00063FDC" w14:paraId="38F34BF7" w14:textId="77777777" w:rsidTr="00EA0790">
        <w:trPr>
          <w:trHeight w:val="297"/>
        </w:trPr>
        <w:tc>
          <w:tcPr>
            <w:tcW w:w="5000" w:type="pct"/>
            <w:vAlign w:val="center"/>
          </w:tcPr>
          <w:p w14:paraId="5DD113D9" w14:textId="09FDA837"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Имущественные права из договоров участия в долевом строительстве</w:t>
            </w:r>
          </w:p>
        </w:tc>
      </w:tr>
      <w:tr w:rsidR="00E648E7" w:rsidRPr="00063FDC" w14:paraId="7B050BC4" w14:textId="77777777" w:rsidTr="00EA0790">
        <w:trPr>
          <w:trHeight w:val="297"/>
        </w:trPr>
        <w:tc>
          <w:tcPr>
            <w:tcW w:w="5000" w:type="pct"/>
            <w:vAlign w:val="center"/>
          </w:tcPr>
          <w:p w14:paraId="224CE54A" w14:textId="58704F45" w:rsidR="00E648E7" w:rsidRPr="00063FDC" w:rsidRDefault="00E648E7" w:rsidP="00EA0790">
            <w:pPr>
              <w:autoSpaceDN w:val="0"/>
              <w:adjustRightInd w:val="0"/>
              <w:rPr>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bl>
    <w:p w14:paraId="1B89B60F" w14:textId="77777777" w:rsidR="00157CED" w:rsidRPr="00063FDC"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Pr="00063FDC"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614A4B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100456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04E40F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51EBBF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71CC43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5A096FA"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CCCA73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38FF17" w14:textId="5EB46012" w:rsidR="002F2562" w:rsidRDefault="002F2562" w:rsidP="00F844C2">
      <w:pPr>
        <w:autoSpaceDN w:val="0"/>
        <w:adjustRightInd w:val="0"/>
        <w:spacing w:line="360" w:lineRule="auto"/>
        <w:jc w:val="both"/>
        <w:rPr>
          <w:color w:val="000000" w:themeColor="text1"/>
          <w:sz w:val="24"/>
          <w:szCs w:val="24"/>
          <w:lang w:eastAsia="ru-RU"/>
        </w:rPr>
      </w:pPr>
    </w:p>
    <w:p w14:paraId="48D6766B" w14:textId="73EA8C44" w:rsidR="00AD43DE" w:rsidRDefault="00AD43DE" w:rsidP="00F844C2">
      <w:pPr>
        <w:autoSpaceDN w:val="0"/>
        <w:adjustRightInd w:val="0"/>
        <w:spacing w:line="360" w:lineRule="auto"/>
        <w:jc w:val="both"/>
        <w:rPr>
          <w:color w:val="000000" w:themeColor="text1"/>
          <w:sz w:val="24"/>
          <w:szCs w:val="24"/>
          <w:lang w:eastAsia="ru-RU"/>
        </w:rPr>
      </w:pPr>
    </w:p>
    <w:p w14:paraId="0814026B" w14:textId="313D008D" w:rsidR="00AD43DE" w:rsidRDefault="00AD43DE" w:rsidP="00F844C2">
      <w:pPr>
        <w:autoSpaceDN w:val="0"/>
        <w:adjustRightInd w:val="0"/>
        <w:spacing w:line="360" w:lineRule="auto"/>
        <w:jc w:val="both"/>
        <w:rPr>
          <w:color w:val="000000" w:themeColor="text1"/>
          <w:sz w:val="24"/>
          <w:szCs w:val="24"/>
          <w:lang w:eastAsia="ru-RU"/>
        </w:rPr>
      </w:pPr>
    </w:p>
    <w:p w14:paraId="0C4AF4C5" w14:textId="42782EAD" w:rsidR="00AD43DE" w:rsidRDefault="00AD43DE" w:rsidP="00F844C2">
      <w:pPr>
        <w:autoSpaceDN w:val="0"/>
        <w:adjustRightInd w:val="0"/>
        <w:spacing w:line="360" w:lineRule="auto"/>
        <w:jc w:val="both"/>
        <w:rPr>
          <w:color w:val="000000" w:themeColor="text1"/>
          <w:sz w:val="24"/>
          <w:szCs w:val="24"/>
          <w:lang w:eastAsia="ru-RU"/>
        </w:rPr>
      </w:pPr>
    </w:p>
    <w:p w14:paraId="4EADCFF6" w14:textId="0E33BFB3" w:rsidR="00AD43DE" w:rsidRDefault="00AD43DE" w:rsidP="00AD43DE">
      <w:pPr>
        <w:spacing w:line="360" w:lineRule="auto"/>
        <w:jc w:val="right"/>
        <w:rPr>
          <w:b/>
          <w:sz w:val="24"/>
          <w:szCs w:val="24"/>
        </w:rPr>
      </w:pPr>
      <w:r>
        <w:rPr>
          <w:b/>
          <w:sz w:val="24"/>
          <w:szCs w:val="24"/>
        </w:rPr>
        <w:t>Приложение 12</w:t>
      </w:r>
    </w:p>
    <w:p w14:paraId="7D0FE64E" w14:textId="77777777" w:rsidR="00AD43DE" w:rsidRDefault="00AD43DE" w:rsidP="00AD43DE">
      <w:pPr>
        <w:spacing w:line="360" w:lineRule="auto"/>
        <w:jc w:val="both"/>
        <w:rPr>
          <w:sz w:val="24"/>
          <w:szCs w:val="24"/>
        </w:rPr>
      </w:pPr>
    </w:p>
    <w:p w14:paraId="66034BA6" w14:textId="77777777" w:rsidR="00AD43DE" w:rsidRDefault="00AD43DE" w:rsidP="00AD43DE">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277A0F53" w14:textId="77777777" w:rsidR="00AD43DE" w:rsidRDefault="00AD43DE" w:rsidP="00AD43DE">
      <w:pPr>
        <w:spacing w:line="360" w:lineRule="auto"/>
        <w:ind w:firstLine="708"/>
        <w:jc w:val="both"/>
        <w:rPr>
          <w:sz w:val="24"/>
          <w:szCs w:val="24"/>
        </w:rPr>
      </w:pPr>
    </w:p>
    <w:p w14:paraId="10AAABD6" w14:textId="77777777" w:rsidR="00AD43DE" w:rsidRPr="0040532A" w:rsidRDefault="00AD43DE" w:rsidP="00AD43DE">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7E8EEB8F" w14:textId="77777777" w:rsidR="00AD43DE" w:rsidRDefault="00AD43DE" w:rsidP="00AD43DE">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BEFBD57" w14:textId="77777777" w:rsidR="00AD43DE" w:rsidRDefault="00AD43DE" w:rsidP="00AD43DE">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473F9E21" w14:textId="77777777" w:rsidR="00AD43DE" w:rsidRDefault="00AD43DE" w:rsidP="00AD43DE">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6EA22490" w14:textId="77777777" w:rsidR="00AD43DE" w:rsidRPr="00F257D9" w:rsidRDefault="00AD43DE" w:rsidP="00AD43DE">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5D619A94" w14:textId="03B2E075" w:rsidR="00AD43DE" w:rsidRPr="00A55F6A" w:rsidRDefault="00AD43DE" w:rsidP="00AD43DE">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0"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10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0473F9C2" w14:textId="77777777" w:rsidR="00AD43DE" w:rsidRPr="0016477D" w:rsidRDefault="00AD43DE" w:rsidP="00AD43DE">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704140B8" w14:textId="2DAFEE98" w:rsidR="00AD43DE" w:rsidRDefault="00AD43DE" w:rsidP="00AD43DE">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10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125CCA5C" w14:textId="77777777" w:rsidR="00AD43DE" w:rsidRDefault="00AD43DE" w:rsidP="00AD43DE">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0CCBD41D" w14:textId="77777777" w:rsidR="00AD43DE" w:rsidRPr="006C5A7D" w:rsidRDefault="00AD43DE" w:rsidP="00AD43DE">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029501DB" w14:textId="77777777" w:rsidR="00AD43DE" w:rsidRPr="00405FCA" w:rsidRDefault="00AD43DE" w:rsidP="00AD43DE">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2974CD35" w14:textId="77777777" w:rsidR="00AD43DE" w:rsidRDefault="00AD43DE" w:rsidP="00AD43DE">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6"/>
      </w:r>
      <w:r>
        <w:rPr>
          <w:sz w:val="24"/>
          <w:szCs w:val="24"/>
        </w:rPr>
        <w:t>.</w:t>
      </w:r>
    </w:p>
    <w:p w14:paraId="00F128E7" w14:textId="2C2F1F2B" w:rsidR="00AD43DE" w:rsidRDefault="00AD43DE" w:rsidP="00AD43DE">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10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EBAC457" w14:textId="77777777" w:rsidR="00AD43DE" w:rsidRDefault="00AD43DE" w:rsidP="00AD43DE">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1E0B0DB5" w14:textId="77777777" w:rsidR="00AD43DE" w:rsidRDefault="00AD43DE" w:rsidP="00AD43DE">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29199E5D" w14:textId="77777777" w:rsidR="00AD43DE" w:rsidRPr="003360DE" w:rsidRDefault="00AD43DE" w:rsidP="00AD43DE">
      <w:pPr>
        <w:spacing w:line="360" w:lineRule="auto"/>
        <w:ind w:firstLine="708"/>
        <w:jc w:val="both"/>
        <w:rPr>
          <w:sz w:val="24"/>
          <w:szCs w:val="24"/>
        </w:rPr>
      </w:pPr>
    </w:p>
    <w:p w14:paraId="56DD25CF" w14:textId="77777777" w:rsidR="00AD43DE" w:rsidRPr="0040532A" w:rsidRDefault="00AD43DE" w:rsidP="00AD43DE">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7D004FBC" w14:textId="77777777" w:rsidR="00AD43DE" w:rsidRDefault="00AD43DE" w:rsidP="00AD43DE">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14:paraId="66871F50" w14:textId="7EF5DF47" w:rsidR="00AD43DE" w:rsidRDefault="00AD43DE" w:rsidP="00AD43DE">
      <w:pPr>
        <w:spacing w:line="360" w:lineRule="auto"/>
        <w:ind w:firstLine="708"/>
        <w:jc w:val="both"/>
        <w:rPr>
          <w:sz w:val="24"/>
          <w:szCs w:val="24"/>
        </w:rPr>
      </w:pPr>
      <w:r>
        <w:rPr>
          <w:sz w:val="24"/>
          <w:szCs w:val="24"/>
        </w:rPr>
        <w:t>2.2.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14:paraId="68C91AB9" w14:textId="77777777" w:rsidR="00AD43DE" w:rsidRPr="008D4D23" w:rsidRDefault="00AD43DE" w:rsidP="00AD43DE">
      <w:pPr>
        <w:spacing w:line="360" w:lineRule="auto"/>
        <w:ind w:firstLine="708"/>
        <w:jc w:val="both"/>
        <w:rPr>
          <w:sz w:val="24"/>
          <w:szCs w:val="24"/>
        </w:rPr>
      </w:pPr>
    </w:p>
    <w:p w14:paraId="3737A659" w14:textId="77777777" w:rsidR="00AD43DE" w:rsidRPr="00C05EFD" w:rsidRDefault="00AD43DE" w:rsidP="00AD43DE">
      <w:pPr>
        <w:spacing w:line="360" w:lineRule="auto"/>
        <w:ind w:firstLine="708"/>
        <w:jc w:val="both"/>
        <w:rPr>
          <w:sz w:val="24"/>
          <w:szCs w:val="24"/>
        </w:rPr>
      </w:pPr>
    </w:p>
    <w:p w14:paraId="6CF573D4" w14:textId="1EA41AB5" w:rsidR="00AD43DE" w:rsidRPr="00245F3C" w:rsidRDefault="00AD43DE" w:rsidP="00AD43DE">
      <w:pPr>
        <w:spacing w:line="360" w:lineRule="auto"/>
        <w:ind w:firstLine="708"/>
        <w:jc w:val="both"/>
        <w:rPr>
          <w:b/>
          <w:sz w:val="24"/>
          <w:szCs w:val="24"/>
        </w:rPr>
      </w:pPr>
      <w:r>
        <w:rPr>
          <w:b/>
          <w:sz w:val="24"/>
          <w:szCs w:val="24"/>
        </w:rPr>
        <w:t>3</w:t>
      </w:r>
      <w:r w:rsidRPr="004D3238">
        <w:rPr>
          <w:b/>
          <w:sz w:val="24"/>
          <w:szCs w:val="24"/>
        </w:rPr>
        <w:t>. Определение безрисковой ставки.</w:t>
      </w:r>
    </w:p>
    <w:p w14:paraId="1F698181" w14:textId="77777777" w:rsidR="00AD43DE" w:rsidRPr="00DA2914" w:rsidRDefault="00AD43DE" w:rsidP="00AD43DE">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2D9A0483" w14:textId="77777777" w:rsidR="00AD43DE" w:rsidRDefault="00AD43DE" w:rsidP="00AD43DE">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08ABD67B" w14:textId="77777777" w:rsidR="00AD43DE" w:rsidRDefault="00AD43DE" w:rsidP="00AD43DE">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434FEBB3" w14:textId="77777777" w:rsidR="00AD43DE" w:rsidRDefault="00AD43DE" w:rsidP="00AD43DE">
      <w:pPr>
        <w:spacing w:line="360" w:lineRule="auto"/>
        <w:ind w:firstLine="708"/>
        <w:jc w:val="both"/>
        <w:rPr>
          <w:sz w:val="24"/>
          <w:szCs w:val="24"/>
        </w:rPr>
      </w:pPr>
    </w:p>
    <w:p w14:paraId="17A37FD6" w14:textId="77777777" w:rsidR="00AD43DE" w:rsidRPr="00063FDC" w:rsidRDefault="00AD43DE" w:rsidP="00F844C2">
      <w:pPr>
        <w:autoSpaceDN w:val="0"/>
        <w:adjustRightInd w:val="0"/>
        <w:spacing w:line="360" w:lineRule="auto"/>
        <w:jc w:val="both"/>
        <w:rPr>
          <w:color w:val="000000" w:themeColor="text1"/>
          <w:sz w:val="24"/>
          <w:szCs w:val="24"/>
          <w:lang w:eastAsia="ru-RU"/>
        </w:rPr>
      </w:pPr>
    </w:p>
    <w:sectPr w:rsidR="00AD43DE" w:rsidRPr="00063FDC" w:rsidSect="00371B7F">
      <w:footerReference w:type="default" r:id="rId1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EA500A" w:rsidRDefault="00EA500A" w:rsidP="002C56E6">
      <w:r>
        <w:separator/>
      </w:r>
    </w:p>
  </w:endnote>
  <w:endnote w:type="continuationSeparator" w:id="0">
    <w:p w14:paraId="4B17998E" w14:textId="77777777" w:rsidR="00EA500A" w:rsidRDefault="00EA500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Euro Sig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genev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Cambria Math">
    <w:altName w:val="Times New Roma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575C49AD" w:rsidR="00EA500A" w:rsidRDefault="00EA500A">
        <w:pPr>
          <w:pStyle w:val="ac"/>
          <w:jc w:val="right"/>
        </w:pPr>
        <w:r>
          <w:rPr>
            <w:noProof/>
          </w:rPr>
          <w:fldChar w:fldCharType="begin"/>
        </w:r>
        <w:r>
          <w:rPr>
            <w:noProof/>
          </w:rPr>
          <w:instrText>PAGE   \* MERGEFORMAT</w:instrText>
        </w:r>
        <w:r>
          <w:rPr>
            <w:noProof/>
          </w:rPr>
          <w:fldChar w:fldCharType="separate"/>
        </w:r>
        <w:r w:rsidR="00B15290">
          <w:rPr>
            <w:noProof/>
          </w:rPr>
          <w:t>50</w:t>
        </w:r>
        <w:r>
          <w:rPr>
            <w:noProof/>
          </w:rPr>
          <w:fldChar w:fldCharType="end"/>
        </w:r>
      </w:p>
    </w:sdtContent>
  </w:sdt>
  <w:p w14:paraId="76F8C3D9" w14:textId="77777777" w:rsidR="00EA500A" w:rsidRDefault="00EA50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1113A362" w:rsidR="00EA500A" w:rsidRDefault="00EA500A">
        <w:pPr>
          <w:pStyle w:val="ac"/>
          <w:jc w:val="right"/>
        </w:pPr>
        <w:r>
          <w:rPr>
            <w:noProof/>
          </w:rPr>
          <w:fldChar w:fldCharType="begin"/>
        </w:r>
        <w:r>
          <w:rPr>
            <w:noProof/>
          </w:rPr>
          <w:instrText>PAGE   \* MERGEFORMAT</w:instrText>
        </w:r>
        <w:r>
          <w:rPr>
            <w:noProof/>
          </w:rPr>
          <w:fldChar w:fldCharType="separate"/>
        </w:r>
        <w:r>
          <w:rPr>
            <w:noProof/>
          </w:rPr>
          <w:t>71</w:t>
        </w:r>
        <w:r>
          <w:rPr>
            <w:noProof/>
          </w:rPr>
          <w:fldChar w:fldCharType="end"/>
        </w:r>
      </w:p>
    </w:sdtContent>
  </w:sdt>
  <w:p w14:paraId="22AD5C85" w14:textId="77777777" w:rsidR="00EA500A" w:rsidRDefault="00EA500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617EE250" w:rsidR="00EA500A" w:rsidRDefault="00EA500A">
        <w:pPr>
          <w:pStyle w:val="ac"/>
          <w:jc w:val="right"/>
        </w:pPr>
        <w:r>
          <w:rPr>
            <w:noProof/>
          </w:rPr>
          <w:fldChar w:fldCharType="begin"/>
        </w:r>
        <w:r>
          <w:rPr>
            <w:noProof/>
          </w:rPr>
          <w:instrText>PAGE   \* MERGEFORMAT</w:instrText>
        </w:r>
        <w:r>
          <w:rPr>
            <w:noProof/>
          </w:rPr>
          <w:fldChar w:fldCharType="separate"/>
        </w:r>
        <w:r w:rsidR="00B15290">
          <w:rPr>
            <w:noProof/>
          </w:rPr>
          <w:t>74</w:t>
        </w:r>
        <w:r>
          <w:rPr>
            <w:noProof/>
          </w:rPr>
          <w:fldChar w:fldCharType="end"/>
        </w:r>
      </w:p>
    </w:sdtContent>
  </w:sdt>
  <w:p w14:paraId="48AC711C" w14:textId="77777777" w:rsidR="00EA500A" w:rsidRDefault="00EA50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EA500A" w:rsidRDefault="00EA500A" w:rsidP="002C56E6">
      <w:r>
        <w:separator/>
      </w:r>
    </w:p>
  </w:footnote>
  <w:footnote w:type="continuationSeparator" w:id="0">
    <w:p w14:paraId="1C7F9991" w14:textId="77777777" w:rsidR="00EA500A" w:rsidRDefault="00EA500A" w:rsidP="002C56E6">
      <w:r>
        <w:continuationSeparator/>
      </w:r>
    </w:p>
  </w:footnote>
  <w:footnote w:id="1">
    <w:p w14:paraId="77BDED72" w14:textId="77777777" w:rsidR="00EA500A" w:rsidRPr="00987453" w:rsidRDefault="00EA500A" w:rsidP="00172304">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C4B197C" w14:textId="77777777" w:rsidR="00EA500A" w:rsidRPr="00987453" w:rsidRDefault="00EA500A" w:rsidP="00172304">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81D999D" w14:textId="77777777" w:rsidR="00EA500A" w:rsidRDefault="00EA500A" w:rsidP="00172304">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
    <w:p w14:paraId="2F2C32EE" w14:textId="77777777" w:rsidR="00EA500A" w:rsidRPr="00987453" w:rsidRDefault="00EA500A" w:rsidP="00190E33">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DAAAB9A" w14:textId="77777777" w:rsidR="00EA500A" w:rsidRPr="00987453" w:rsidRDefault="00EA500A" w:rsidP="00190E33">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786164D" w14:textId="77777777" w:rsidR="00EA500A" w:rsidRPr="00987453" w:rsidRDefault="00EA500A" w:rsidP="00190E33">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
    <w:p w14:paraId="3DDFBB45" w14:textId="77777777" w:rsidR="00EA500A" w:rsidRDefault="00EA500A" w:rsidP="007558F7">
      <w:pPr>
        <w:pStyle w:val="aff4"/>
      </w:pPr>
      <w:r>
        <w:rPr>
          <w:rStyle w:val="afa"/>
        </w:rPr>
        <w:footnoteRef/>
      </w:r>
      <w:r>
        <w:t xml:space="preserve"> </w:t>
      </w:r>
      <w:hyperlink r:id="rId1" w:history="1">
        <w:r w:rsidRPr="00F100FC">
          <w:rPr>
            <w:rStyle w:val="af4"/>
            <w:rFonts w:ascii="Arial" w:hAnsi="Arial" w:cs="Arial"/>
            <w:sz w:val="18"/>
          </w:rPr>
          <w:t>http://www.mosprime.com/</w:t>
        </w:r>
      </w:hyperlink>
    </w:p>
  </w:footnote>
  <w:footnote w:id="4">
    <w:p w14:paraId="4B201DF5" w14:textId="77777777" w:rsidR="00EA500A" w:rsidRDefault="00EA500A" w:rsidP="007558F7">
      <w:pPr>
        <w:pStyle w:val="aff4"/>
      </w:pPr>
      <w:r>
        <w:rPr>
          <w:rStyle w:val="afa"/>
        </w:rPr>
        <w:footnoteRef/>
      </w:r>
      <w:r>
        <w:t xml:space="preserve"> </w:t>
      </w:r>
      <w:hyperlink r:id="rId2" w:history="1">
        <w:r w:rsidRPr="00F100FC">
          <w:rPr>
            <w:rStyle w:val="af4"/>
            <w:rFonts w:ascii="Arial" w:hAnsi="Arial" w:cs="Arial"/>
            <w:sz w:val="18"/>
          </w:rPr>
          <w:t>https://www.moex.com/s2532</w:t>
        </w:r>
      </w:hyperlink>
    </w:p>
  </w:footnote>
  <w:footnote w:id="5">
    <w:p w14:paraId="2A2A1C51" w14:textId="77777777" w:rsidR="00EA500A" w:rsidRPr="00B62470" w:rsidRDefault="00EA500A" w:rsidP="007558F7">
      <w:pPr>
        <w:pStyle w:val="aff4"/>
      </w:pPr>
      <w:r w:rsidRPr="00B62470">
        <w:rPr>
          <w:rStyle w:val="afa"/>
        </w:rPr>
        <w:footnoteRef/>
      </w:r>
      <w:r w:rsidRPr="00B62470">
        <w:t xml:space="preserve"> </w:t>
      </w:r>
      <w:hyperlink r:id="rId3" w:history="1">
        <w:r w:rsidRPr="00B62470">
          <w:rPr>
            <w:rStyle w:val="af4"/>
            <w:sz w:val="18"/>
          </w:rPr>
          <w:t>https://www.sofrrate.com/</w:t>
        </w:r>
      </w:hyperlink>
    </w:p>
  </w:footnote>
  <w:footnote w:id="6">
    <w:p w14:paraId="2C8D20E0" w14:textId="77777777" w:rsidR="00EA500A" w:rsidRPr="00B62470" w:rsidRDefault="00EA500A" w:rsidP="007558F7">
      <w:pPr>
        <w:pStyle w:val="aff4"/>
      </w:pPr>
      <w:r w:rsidRPr="00B62470">
        <w:rPr>
          <w:rStyle w:val="afa"/>
        </w:rPr>
        <w:footnoteRef/>
      </w:r>
      <w:r w:rsidRPr="00B62470">
        <w:t xml:space="preserve"> </w:t>
      </w:r>
      <w:hyperlink r:id="rId4" w:history="1">
        <w:r w:rsidRPr="00B62470">
          <w:rPr>
            <w:rStyle w:val="af4"/>
          </w:rPr>
          <w:t>https://www.treasury.gov/resource-center/data-chart-center/interest-rates/pages/TextView.aspx?data=yield</w:t>
        </w:r>
      </w:hyperlink>
    </w:p>
  </w:footnote>
  <w:footnote w:id="7">
    <w:p w14:paraId="3D32F5DC" w14:textId="77777777" w:rsidR="00EA500A" w:rsidRDefault="00EA500A" w:rsidP="007558F7">
      <w:pPr>
        <w:pStyle w:val="aff4"/>
      </w:pPr>
      <w:r w:rsidRPr="00B62470">
        <w:rPr>
          <w:rStyle w:val="afa"/>
        </w:rPr>
        <w:footnoteRef/>
      </w:r>
      <w:r w:rsidRPr="00B62470">
        <w:t xml:space="preserve"> </w:t>
      </w:r>
      <w:hyperlink r:id="rId5" w:history="1">
        <w:r w:rsidRPr="00B62470">
          <w:rPr>
            <w:rStyle w:val="af4"/>
            <w:sz w:val="18"/>
          </w:rPr>
          <w:t>https://www.ecb.europa.eu/stats/financial_markets_and_interest_rates/euro_short-term_rate/html/index.en.html</w:t>
        </w:r>
      </w:hyperlink>
    </w:p>
  </w:footnote>
  <w:footnote w:id="8">
    <w:p w14:paraId="670ED382" w14:textId="77777777" w:rsidR="00EA500A" w:rsidRDefault="00EA500A" w:rsidP="007558F7">
      <w:pPr>
        <w:pStyle w:val="aff4"/>
      </w:pPr>
      <w:r>
        <w:rPr>
          <w:rStyle w:val="afa"/>
        </w:rPr>
        <w:footnoteRef/>
      </w:r>
      <w:r>
        <w:t xml:space="preserve"> </w:t>
      </w:r>
      <w:hyperlink r:id="rId6" w:history="1">
        <w:r w:rsidRPr="00CD3956">
          <w:rPr>
            <w:rStyle w:val="af4"/>
          </w:rPr>
          <w:t>https://www.ecb.europa.eu/stats/financial_markets_and_interest_rates/euro_area_yield_curves/html/index.en.html</w:t>
        </w:r>
      </w:hyperlink>
    </w:p>
  </w:footnote>
  <w:footnote w:id="9">
    <w:p w14:paraId="3ED51338" w14:textId="77777777" w:rsidR="00EA500A" w:rsidRPr="00341704" w:rsidRDefault="00EA500A"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0">
    <w:p w14:paraId="0F4F21E4" w14:textId="77777777" w:rsidR="00EA500A" w:rsidRPr="00341704" w:rsidRDefault="00EA500A"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1">
    <w:p w14:paraId="69D3D36F" w14:textId="77777777" w:rsidR="00EA500A" w:rsidRDefault="00EA500A"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2">
    <w:p w14:paraId="7E633E95" w14:textId="77777777" w:rsidR="00EA500A" w:rsidRPr="004A14EE" w:rsidRDefault="00EA500A"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EA500A" w:rsidRPr="004A14EE" w:rsidRDefault="00EA500A" w:rsidP="00C8239C">
      <w:pPr>
        <w:pStyle w:val="aff4"/>
        <w:numPr>
          <w:ilvl w:val="0"/>
          <w:numId w:val="21"/>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EA500A" w:rsidRPr="00E2653F" w:rsidRDefault="00EA500A" w:rsidP="00C8239C">
      <w:pPr>
        <w:pStyle w:val="aff4"/>
        <w:numPr>
          <w:ilvl w:val="0"/>
          <w:numId w:val="21"/>
        </w:numPr>
      </w:pPr>
      <w:r w:rsidRPr="004A14EE">
        <w:rPr>
          <w:sz w:val="16"/>
        </w:rPr>
        <w:t>оспариваемой задолженности по пеням и штрафам – до момента получения исполнительного листа.</w:t>
      </w:r>
    </w:p>
  </w:footnote>
  <w:footnote w:id="13">
    <w:p w14:paraId="6C4E65A1" w14:textId="77777777" w:rsidR="00EA500A" w:rsidRDefault="00EA500A"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4">
    <w:p w14:paraId="169DD331" w14:textId="77777777" w:rsidR="00EA500A" w:rsidRDefault="00EA500A"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5">
    <w:p w14:paraId="3FBBC276" w14:textId="77777777" w:rsidR="00EA500A" w:rsidRPr="00FE2BB4" w:rsidRDefault="00EA500A"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6">
    <w:p w14:paraId="21200388" w14:textId="77777777" w:rsidR="00EA500A" w:rsidRDefault="00EA500A"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17">
    <w:p w14:paraId="64344A00" w14:textId="77777777" w:rsidR="00EA500A" w:rsidRDefault="00EA500A"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8">
    <w:p w14:paraId="4507DAC9" w14:textId="77777777" w:rsidR="00EA500A" w:rsidRDefault="00EA500A" w:rsidP="007558F7">
      <w:pPr>
        <w:pStyle w:val="aff4"/>
      </w:pPr>
      <w:r>
        <w:rPr>
          <w:rStyle w:val="afa"/>
        </w:rPr>
        <w:footnoteRef/>
      </w:r>
      <w:r>
        <w:t xml:space="preserve"> </w:t>
      </w:r>
      <w:r w:rsidRPr="006E7138">
        <w:t>https://ofd.nalog.ru/</w:t>
      </w:r>
    </w:p>
  </w:footnote>
  <w:footnote w:id="19">
    <w:p w14:paraId="5961235D" w14:textId="77777777" w:rsidR="00EA500A" w:rsidRPr="00EA2976" w:rsidRDefault="00EA500A"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0">
    <w:p w14:paraId="7E969886" w14:textId="77777777" w:rsidR="00EA500A" w:rsidRDefault="00EA500A"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1">
    <w:p w14:paraId="7266428A" w14:textId="77777777" w:rsidR="00EA500A" w:rsidRPr="00AC2C21" w:rsidRDefault="00EA500A"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EA500A" w:rsidRPr="00AC2C21" w:rsidRDefault="00EA500A" w:rsidP="007558F7">
      <w:pPr>
        <w:pStyle w:val="aff4"/>
        <w:rPr>
          <w:sz w:val="16"/>
        </w:rPr>
      </w:pPr>
      <w:r w:rsidRPr="00AC2C21">
        <w:rPr>
          <w:sz w:val="16"/>
        </w:rPr>
        <w:t>LGD=1-RR,</w:t>
      </w:r>
    </w:p>
    <w:p w14:paraId="03958F5B" w14:textId="77777777" w:rsidR="00EA500A" w:rsidRPr="00AC2C21" w:rsidRDefault="00EA500A" w:rsidP="007558F7">
      <w:pPr>
        <w:pStyle w:val="aff4"/>
        <w:rPr>
          <w:sz w:val="16"/>
        </w:rPr>
      </w:pPr>
      <w:r w:rsidRPr="00AC2C21">
        <w:rPr>
          <w:sz w:val="16"/>
        </w:rPr>
        <w:t>где:</w:t>
      </w:r>
    </w:p>
    <w:p w14:paraId="1BA959CC" w14:textId="77777777" w:rsidR="00EA500A" w:rsidRDefault="00EA500A"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2">
    <w:p w14:paraId="4AE6A261" w14:textId="77777777" w:rsidR="00EA500A" w:rsidRDefault="00EA500A"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3">
    <w:p w14:paraId="0CF030B8" w14:textId="77777777" w:rsidR="00EA500A" w:rsidRDefault="00EA500A" w:rsidP="007558F7">
      <w:pPr>
        <w:pStyle w:val="aff4"/>
      </w:pPr>
      <w:r>
        <w:rPr>
          <w:rStyle w:val="afa"/>
        </w:rPr>
        <w:footnoteRef/>
      </w:r>
      <w:r>
        <w:t xml:space="preserve"> Например, гостиницы, хостелы и т.п.</w:t>
      </w:r>
    </w:p>
  </w:footnote>
  <w:footnote w:id="24">
    <w:p w14:paraId="7589AF46" w14:textId="77777777" w:rsidR="00EA500A" w:rsidRDefault="00EA500A"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5">
    <w:p w14:paraId="3E16059E" w14:textId="77777777" w:rsidR="00EA500A" w:rsidRDefault="00EA500A" w:rsidP="007558F7">
      <w:pPr>
        <w:pStyle w:val="aff4"/>
        <w:rPr>
          <w:rFonts w:ascii="Verdana" w:hAnsi="Verdana"/>
        </w:rPr>
      </w:pPr>
      <w:r>
        <w:rPr>
          <w:rStyle w:val="afa"/>
        </w:rPr>
        <w:footnoteRef/>
      </w:r>
      <w:r>
        <w:t xml:space="preserve"> https://www.otpbank.ru/about/akcyy/msfo/</w:t>
      </w:r>
    </w:p>
  </w:footnote>
  <w:footnote w:id="26">
    <w:p w14:paraId="6DE25B88" w14:textId="77777777" w:rsidR="00EA500A" w:rsidRDefault="00EA500A"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27">
    <w:p w14:paraId="1FDE6825" w14:textId="77777777" w:rsidR="00EA500A" w:rsidRDefault="00EA500A" w:rsidP="007558F7">
      <w:pPr>
        <w:pStyle w:val="aff4"/>
      </w:pPr>
      <w:r>
        <w:rPr>
          <w:rStyle w:val="afa"/>
        </w:rPr>
        <w:footnoteRef/>
      </w:r>
      <w:r>
        <w:t xml:space="preserve"> </w:t>
      </w:r>
      <w:bookmarkStart w:id="6" w:name="_Hlk63964528"/>
      <w:r>
        <w:t>https://www.mtsbank.ru/o-banke/raskritie-informacii/year-reports/2020/</w:t>
      </w:r>
      <w:bookmarkEnd w:id="6"/>
    </w:p>
  </w:footnote>
  <w:footnote w:id="28">
    <w:p w14:paraId="324E111C" w14:textId="77777777" w:rsidR="00EA500A" w:rsidRDefault="00EA500A" w:rsidP="007558F7">
      <w:pPr>
        <w:pStyle w:val="aff4"/>
      </w:pPr>
      <w:r>
        <w:rPr>
          <w:rStyle w:val="afa"/>
        </w:rPr>
        <w:footnoteRef/>
      </w:r>
      <w:r>
        <w:t xml:space="preserve"> https://www.crediteurope.ru/finance/audit_reports/</w:t>
      </w:r>
    </w:p>
  </w:footnote>
  <w:footnote w:id="29">
    <w:p w14:paraId="77F32574" w14:textId="77777777" w:rsidR="00EA500A" w:rsidRPr="00654741" w:rsidRDefault="00EA500A" w:rsidP="007558F7">
      <w:pPr>
        <w:pStyle w:val="Default"/>
        <w:spacing w:line="360" w:lineRule="auto"/>
        <w:jc w:val="both"/>
        <w:rPr>
          <w:color w:val="auto"/>
          <w:sz w:val="20"/>
          <w:szCs w:val="20"/>
        </w:rPr>
      </w:pPr>
      <w:bookmarkStart w:id="9" w:name="_Hlk63966923"/>
      <w:r>
        <w:rPr>
          <w:rStyle w:val="afa"/>
        </w:rPr>
        <w:footnoteRef/>
      </w:r>
      <w:r>
        <w:t xml:space="preserve"> </w:t>
      </w:r>
      <w:hyperlink r:id="rId7"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9"/>
    <w:p w14:paraId="45F0BB84" w14:textId="77777777" w:rsidR="00EA500A" w:rsidRDefault="00EA500A" w:rsidP="007558F7">
      <w:pPr>
        <w:pStyle w:val="aff4"/>
      </w:pPr>
    </w:p>
  </w:footnote>
  <w:footnote w:id="30">
    <w:p w14:paraId="3F5691D7" w14:textId="77777777" w:rsidR="00EA500A" w:rsidRDefault="00EA500A"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1">
    <w:p w14:paraId="7725CB9B" w14:textId="77777777" w:rsidR="00EA500A" w:rsidRDefault="00EA500A"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2">
    <w:p w14:paraId="0000E5BC" w14:textId="77777777" w:rsidR="00EA500A" w:rsidRDefault="00EA500A"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3">
    <w:p w14:paraId="3D7A0A7B" w14:textId="77777777" w:rsidR="00EA500A" w:rsidRDefault="00EA500A"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4">
    <w:p w14:paraId="0DF0D878" w14:textId="77777777" w:rsidR="00EA500A" w:rsidRPr="00151F78" w:rsidRDefault="00EA500A"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5">
    <w:p w14:paraId="6BAD354E" w14:textId="77777777" w:rsidR="00EA500A" w:rsidRPr="00151F78" w:rsidRDefault="00EA500A"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6">
    <w:p w14:paraId="6C1202A6" w14:textId="77777777" w:rsidR="00AD43DE" w:rsidRPr="00AC2C21" w:rsidRDefault="00AD43DE" w:rsidP="00AD43DE">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09FC853B" w14:textId="77777777" w:rsidR="00AD43DE" w:rsidRPr="00AC2C21" w:rsidRDefault="00AD43DE" w:rsidP="00AD43DE">
      <w:pPr>
        <w:pStyle w:val="aff4"/>
        <w:rPr>
          <w:sz w:val="16"/>
        </w:rPr>
      </w:pPr>
      <w:r w:rsidRPr="00AC2C21">
        <w:rPr>
          <w:sz w:val="16"/>
        </w:rPr>
        <w:t>LGD=1-RR,</w:t>
      </w:r>
    </w:p>
    <w:p w14:paraId="378FE3B4" w14:textId="77777777" w:rsidR="00AD43DE" w:rsidRPr="00AC2C21" w:rsidRDefault="00AD43DE" w:rsidP="00AD43DE">
      <w:pPr>
        <w:pStyle w:val="aff4"/>
        <w:rPr>
          <w:sz w:val="16"/>
        </w:rPr>
      </w:pPr>
      <w:r w:rsidRPr="00AC2C21">
        <w:rPr>
          <w:sz w:val="16"/>
        </w:rPr>
        <w:t>где:</w:t>
      </w:r>
    </w:p>
    <w:p w14:paraId="261F3DDE" w14:textId="77777777" w:rsidR="00AD43DE" w:rsidRDefault="00AD43DE" w:rsidP="00AD43DE">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F32093"/>
    <w:multiLevelType w:val="hybridMultilevel"/>
    <w:tmpl w:val="62DE5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73721"/>
    <w:multiLevelType w:val="hybridMultilevel"/>
    <w:tmpl w:val="424A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24"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35"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36"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39"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40"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13"/>
  </w:num>
  <w:num w:numId="4">
    <w:abstractNumId w:val="24"/>
  </w:num>
  <w:num w:numId="5">
    <w:abstractNumId w:val="28"/>
  </w:num>
  <w:num w:numId="6">
    <w:abstractNumId w:val="10"/>
  </w:num>
  <w:num w:numId="7">
    <w:abstractNumId w:val="38"/>
  </w:num>
  <w:num w:numId="8">
    <w:abstractNumId w:val="32"/>
  </w:num>
  <w:num w:numId="9">
    <w:abstractNumId w:val="18"/>
  </w:num>
  <w:num w:numId="10">
    <w:abstractNumId w:val="39"/>
  </w:num>
  <w:num w:numId="11">
    <w:abstractNumId w:val="42"/>
  </w:num>
  <w:num w:numId="12">
    <w:abstractNumId w:val="40"/>
  </w:num>
  <w:num w:numId="13">
    <w:abstractNumId w:val="5"/>
  </w:num>
  <w:num w:numId="14">
    <w:abstractNumId w:val="27"/>
  </w:num>
  <w:num w:numId="15">
    <w:abstractNumId w:val="41"/>
  </w:num>
  <w:num w:numId="16">
    <w:abstractNumId w:val="2"/>
  </w:num>
  <w:num w:numId="17">
    <w:abstractNumId w:val="14"/>
  </w:num>
  <w:num w:numId="18">
    <w:abstractNumId w:val="26"/>
  </w:num>
  <w:num w:numId="19">
    <w:abstractNumId w:val="29"/>
  </w:num>
  <w:num w:numId="20">
    <w:abstractNumId w:val="0"/>
  </w:num>
  <w:num w:numId="21">
    <w:abstractNumId w:val="12"/>
  </w:num>
  <w:num w:numId="22">
    <w:abstractNumId w:val="33"/>
  </w:num>
  <w:num w:numId="23">
    <w:abstractNumId w:val="34"/>
  </w:num>
  <w:num w:numId="24">
    <w:abstractNumId w:val="23"/>
  </w:num>
  <w:num w:numId="25">
    <w:abstractNumId w:val="35"/>
  </w:num>
  <w:num w:numId="26">
    <w:abstractNumId w:val="25"/>
  </w:num>
  <w:num w:numId="27">
    <w:abstractNumId w:val="36"/>
  </w:num>
  <w:num w:numId="28">
    <w:abstractNumId w:val="20"/>
  </w:num>
  <w:num w:numId="29">
    <w:abstractNumId w:val="17"/>
  </w:num>
  <w:num w:numId="30">
    <w:abstractNumId w:val="4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num>
  <w:num w:numId="34">
    <w:abstractNumId w:val="15"/>
  </w:num>
  <w:num w:numId="35">
    <w:abstractNumId w:val="11"/>
  </w:num>
  <w:num w:numId="36">
    <w:abstractNumId w:val="3"/>
  </w:num>
  <w:num w:numId="37">
    <w:abstractNumId w:val="22"/>
  </w:num>
  <w:num w:numId="38">
    <w:abstractNumId w:val="8"/>
  </w:num>
  <w:num w:numId="39">
    <w:abstractNumId w:val="16"/>
  </w:num>
  <w:num w:numId="40">
    <w:abstractNumId w:val="7"/>
  </w:num>
  <w:num w:numId="41">
    <w:abstractNumId w:val="1"/>
  </w:num>
  <w:num w:numId="42">
    <w:abstractNumId w:val="6"/>
  </w:num>
  <w:num w:numId="43">
    <w:abstractNumId w:val="30"/>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40A05"/>
    <w:rsid w:val="000438A3"/>
    <w:rsid w:val="00043DC8"/>
    <w:rsid w:val="000449D6"/>
    <w:rsid w:val="00044BEB"/>
    <w:rsid w:val="00045FC2"/>
    <w:rsid w:val="000467F7"/>
    <w:rsid w:val="00052334"/>
    <w:rsid w:val="000542F5"/>
    <w:rsid w:val="0005621E"/>
    <w:rsid w:val="00057D34"/>
    <w:rsid w:val="0006197A"/>
    <w:rsid w:val="00062ED1"/>
    <w:rsid w:val="00063C15"/>
    <w:rsid w:val="00063FDC"/>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304"/>
    <w:rsid w:val="00172477"/>
    <w:rsid w:val="00172FD7"/>
    <w:rsid w:val="001760EC"/>
    <w:rsid w:val="0017758E"/>
    <w:rsid w:val="0018165D"/>
    <w:rsid w:val="00182519"/>
    <w:rsid w:val="00182AFF"/>
    <w:rsid w:val="00183367"/>
    <w:rsid w:val="001835B2"/>
    <w:rsid w:val="0018438F"/>
    <w:rsid w:val="00185A14"/>
    <w:rsid w:val="00190E33"/>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D7B"/>
    <w:rsid w:val="00246118"/>
    <w:rsid w:val="00246971"/>
    <w:rsid w:val="0024727F"/>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0E4"/>
    <w:rsid w:val="00653BF9"/>
    <w:rsid w:val="00654476"/>
    <w:rsid w:val="006547DC"/>
    <w:rsid w:val="006576A6"/>
    <w:rsid w:val="00657BC9"/>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3B61"/>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4609"/>
    <w:rsid w:val="00715871"/>
    <w:rsid w:val="00717661"/>
    <w:rsid w:val="007206F5"/>
    <w:rsid w:val="00721F66"/>
    <w:rsid w:val="007236F5"/>
    <w:rsid w:val="00723723"/>
    <w:rsid w:val="00725F10"/>
    <w:rsid w:val="0072677A"/>
    <w:rsid w:val="00727465"/>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2AD3"/>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BBF"/>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77BD"/>
    <w:rsid w:val="00952360"/>
    <w:rsid w:val="00953AAB"/>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507"/>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2C5"/>
    <w:rsid w:val="009C1313"/>
    <w:rsid w:val="009C1A2A"/>
    <w:rsid w:val="009C2DED"/>
    <w:rsid w:val="009C5DC2"/>
    <w:rsid w:val="009C6E14"/>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6913"/>
    <w:rsid w:val="00AC6B8F"/>
    <w:rsid w:val="00AC7235"/>
    <w:rsid w:val="00AD201C"/>
    <w:rsid w:val="00AD33F6"/>
    <w:rsid w:val="00AD43DE"/>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AF784E"/>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290"/>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8E7"/>
    <w:rsid w:val="00C41E7D"/>
    <w:rsid w:val="00C4232C"/>
    <w:rsid w:val="00C43310"/>
    <w:rsid w:val="00C435AC"/>
    <w:rsid w:val="00C44B9B"/>
    <w:rsid w:val="00C4662F"/>
    <w:rsid w:val="00C469E1"/>
    <w:rsid w:val="00C46DA7"/>
    <w:rsid w:val="00C47A4C"/>
    <w:rsid w:val="00C47F3A"/>
    <w:rsid w:val="00C50CCB"/>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39C"/>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648E7"/>
    <w:rsid w:val="00E72355"/>
    <w:rsid w:val="00E72DCB"/>
    <w:rsid w:val="00E73C37"/>
    <w:rsid w:val="00E746F9"/>
    <w:rsid w:val="00E749F8"/>
    <w:rsid w:val="00E75EA0"/>
    <w:rsid w:val="00E8337C"/>
    <w:rsid w:val="00E8380D"/>
    <w:rsid w:val="00E857C1"/>
    <w:rsid w:val="00E859FC"/>
    <w:rsid w:val="00E86E22"/>
    <w:rsid w:val="00E87E78"/>
    <w:rsid w:val="00E9057B"/>
    <w:rsid w:val="00E92859"/>
    <w:rsid w:val="00E9551E"/>
    <w:rsid w:val="00E96F27"/>
    <w:rsid w:val="00EA0790"/>
    <w:rsid w:val="00EA2DD2"/>
    <w:rsid w:val="00EA2FCD"/>
    <w:rsid w:val="00EA40B3"/>
    <w:rsid w:val="00EA4652"/>
    <w:rsid w:val="00EA500A"/>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5C35"/>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8"/>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8"/>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26"/>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footer" Target="footer1.xml"/><Relationship Id="rId89" Type="http://schemas.openxmlformats.org/officeDocument/2006/relationships/image" Target="media/image32.wmf"/><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hyperlink" Target="https://www.moex.com/ru/index/RUCBITRB3Y"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image" Target="media/image31.wmf"/><Relationship Id="rId102" Type="http://schemas.openxmlformats.org/officeDocument/2006/relationships/hyperlink" Target="https://bankruptcy.kommersant.ru" TargetMode="External"/><Relationship Id="rId110" Type="http://schemas.openxmlformats.org/officeDocument/2006/relationships/hyperlink" Target="https://raexpert.ru/docbank/eef/df6/380/0d335f3cb12556c04667cc2.pdf" TargetMode="Externa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hyperlink" Target="https://kad.arbitr.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5.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moex.com/ru/index/RUCBITRBB3Y/archive"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e-disclosure.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domrfbank.ru/about/information/msfo/" TargetMode="External"/><Relationship Id="rId2" Type="http://schemas.openxmlformats.org/officeDocument/2006/relationships/hyperlink" Target="https://www.moex.com/s2532" TargetMode="External"/><Relationship Id="rId1" Type="http://schemas.openxmlformats.org/officeDocument/2006/relationships/hyperlink" Target="http://www.mosprime.com/"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microsoft.com/office/2006/documentManagement/types"/>
    <ds:schemaRef ds:uri="http://schemas.openxmlformats.org/package/2006/metadata/core-properties"/>
    <ds:schemaRef ds:uri="a1d7872c-6126-4a32-b4d6-b4aed00f16be"/>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DD13BF55-7F22-4BEB-A5DE-F8EDABD4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74</Pages>
  <Words>19296</Words>
  <Characters>109991</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17</cp:revision>
  <cp:lastPrinted>2019-12-16T11:46:00Z</cp:lastPrinted>
  <dcterms:created xsi:type="dcterms:W3CDTF">2021-12-19T17:44:00Z</dcterms:created>
  <dcterms:modified xsi:type="dcterms:W3CDTF">2022-03-28T15:53:00Z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